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Third-Party Pricing Baseline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Canonical service pricing/limits baseline for SB-00 v1.1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doc/ai/SB-00_Third_Party_Pricing_Baseline_v1_1.md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Important: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คอลัมน์ </w:t>
      </w:r>
      <w:r>
        <w:rPr>
          <w:rFonts w:ascii="Consolas" w:hAnsi="Consolas" w:eastAsia="Consolas" w:cs="Consolas"/>
          <w:b w:val="0"/>
          <w:i w:val="0"/>
          <w:sz w:val="20"/>
        </w:rPr>
        <w:t>Verified on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ในเอกสารนี้หมายถึงวันที่ sync สมมติฐานเอกสาร (</w:t>
      </w:r>
      <w:r>
        <w:rPr>
          <w:rFonts w:ascii="Consolas" w:hAnsi="Consolas" w:eastAsia="Consolas" w:cs="Consolas"/>
          <w:b w:val="0"/>
          <w:i w:val="0"/>
          <w:sz w:val="20"/>
        </w:rPr>
        <w:t>planning sync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) ไม่ใช่ live vendor quote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ก่อน </w:t>
      </w:r>
      <w:r>
        <w:rPr>
          <w:rFonts w:ascii="Consolas" w:hAnsi="Consolas" w:eastAsia="Consolas" w:cs="Consolas"/>
          <w:b w:val="0"/>
          <w:i w:val="0"/>
          <w:sz w:val="20"/>
        </w:rPr>
        <w:t>commercial launch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ต้อง re-check vendor pricing/quota จริงอีกครั้ง โดยเฉพาะ services ที่ราคาและแพ็กเกจเปลี่ยนได้ง่าย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Canonical Table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tier / included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Upgrade trigger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Canonical planning estimate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Verified on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Notes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connections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100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~$25/mo (~900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ใช้เป็น broker หลัก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 + auth + realtime fallback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500MB DB, 50k rows/day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~60+ devices / DB โตเกิน free tier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$25/mo (~900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cache, rate limit, pub-sub assist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 req/day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~17+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~$5/mo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queue / retry / webhook buffer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msg/day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active devices ใน Phase 1 dev/test หรือ usage &gt; 500 msg/day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~$4/mo (~144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ใช้จ่ายตั้งแต่ช่วง parallel dev/test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Hobby/Pro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hosting / serverless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Hobby free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~50+ devices หรือเมื่อ hobby tier ไม่พอ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$20/mo (~720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/ LINE OA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alerts ผ่าน LINE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200 msg/mo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200 msg/mo (~40+ devices ถ้ามี alert บ่อย)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~150 THB/mo (planning estimate)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re-check plan/quota จริงก่อน commercial launch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alerts / reports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3,000 emails/mo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~88+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Starter $20/mo (~720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monitoring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5,000 errors/mo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~500+ devices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$26/mo (~936 THB/mo)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planning estimate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global SaaS billing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 setup fee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paid global customers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3.65% / transaction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transaction basis</w:t>
            </w:r>
          </w:p>
        </w:tc>
      </w:tr>
      <w:tr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Thai billing / PromptPay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 setup fee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paid Thai customers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3.65% / transaction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(planning sync)</w:t>
            </w:r>
          </w:p>
        </w:tc>
        <w:tc>
          <w:tcPr>
            <w:tcW w:type="dxa" w:w="128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transaction basis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Usage Rules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ถ้ามีตัวเลข price/limit ของ service ข้างต้นปรากฏในเอกสารอื่น ให้ยึดไฟล์นี้เป็นตัวกลางก่อน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ถ้าเอกสารอื่นต้องพูดถึง service เดิมซ้ำ ให้ใช้ wording เดียวกับ column </w:t>
      </w:r>
      <w:r>
        <w:rPr>
          <w:rFonts w:ascii="Consolas" w:hAnsi="Consolas" w:eastAsia="Consolas" w:cs="Consolas"/>
          <w:b w:val="0"/>
          <w:i w:val="0"/>
          <w:sz w:val="20"/>
        </w:rPr>
        <w:t>Canonical planning estimate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ถ้าทีม re-check vendor จริงแล้ว ให้ update ไฟล์นี้ก่อน แล้วค่อย sync SB-00_Backend_Security_v1_1.md (./SB-00_Backend_Security_v1_1.md) และ SB-00_Procurement_List_v1_1.md (./SB-00_Procurement_List_v1_1.md)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Third-Party Pricing Baseline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