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System Design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Human-friendly system overview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doc/ai/HB-03_System_Design_v1_0.md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System Flow</w:t>
      </w:r>
    </w:p>
    <w:p/>
    <w:p>
      <w:r>
        <w:rPr>
          <w:rFonts w:ascii="Consolas" w:hAnsi="Consolas" w:eastAsia="Consolas" w:cs="Consolas"/>
          <w:b w:val="0"/>
          <w:i w:val="0"/>
          <w:sz w:val="20"/>
        </w:rPr>
        <w:t>Device -&gt; 4G / MQTT -&gt; Backend -&gt; Database -&gt; Dashboard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Device Summary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ส่วน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ใช้อะไร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MCU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FS-HCore ใน prototype /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ใน production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L76K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DS18B20, turbidity, MAX17048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Provisioning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+ Web/PWA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Battery Platform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Variant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จุดประสงค์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Runtime target</w:t>
            </w:r>
          </w:p>
        </w:tc>
      </w:tr>
      <w:tr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รุ่นหลักของ pilot</w:t>
            </w:r>
          </w:p>
        </w:tc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12 วัน @ 5 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รุ่นอัปเกรด</w:t>
            </w:r>
          </w:p>
        </w:tc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30 วัน @ 5 นาที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หรือ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60 วัน @ 10 นาที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Shared Rules Across Both Variants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core board 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provisioning flow 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firmware codebase 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backend schema 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ใช้ตำแหน่ง antenna และ sensor exits เดียวกัน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Things That Can Change By Variant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cell count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usable battery capacity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tray / pack hardware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depth หรือ battery bay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Firmware / Backend Fields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ใช้ทำอะไร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battery_variant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บอกรุ่นแบต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battery_profile_version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บอกเวอร์ชัน profile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usable_capacity_mah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ใช้คำนวณ runtime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service_only_upgrade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บอกว่าเป็นงานช่าง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Enclosure Rules</w:t>
      </w:r>
    </w:p>
    <w:p/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 baseline </w:t>
      </w:r>
      <w:r>
        <w:rPr>
          <w:rFonts w:ascii="Consolas" w:hAnsi="Consolas" w:eastAsia="Consolas" w:cs="Consolas"/>
          <w:b w:val="0"/>
          <w:i w:val="0"/>
          <w:sz w:val="20"/>
        </w:rPr>
        <w:t>150 × 100 × 60 mm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 footprint core เดิม แต่ขยาย battery bay ได้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ห้ามย้าย core board mount เพราะเปลี่ยน variant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ห้ามทำให้ลูกค้าเปิดกล่องเองเพื่อเปลี่ยน battery module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Non-Negotiables</w:t>
      </w:r>
    </w:p>
    <w:p/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QR + Web/PWA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 customer flow เดียว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optional upgrade ไม่ใช่ baseline ทุกเครื่อง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ถ้ายังไม่มี service-safe enclosure ห้ามเปิดขาย Long-Life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