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hint="eastAsia" w:eastAsia="楷体_GB2312"/>
          <w:sz w:val="36"/>
        </w:rPr>
        <w:t>目  录</w:t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"_Toc512259949" </w:instrText>
      </w:r>
      <w:r>
        <w:fldChar w:fldCharType="separate"/>
      </w:r>
      <w:r>
        <w:rPr>
          <w:rStyle w:val="16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_Toc512259949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"_Toc512259950" </w:instrText>
      </w:r>
      <w:r>
        <w:fldChar w:fldCharType="separate"/>
      </w:r>
      <w:r>
        <w:rPr>
          <w:rStyle w:val="16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参与者</w:t>
      </w:r>
      <w:r>
        <w:tab/>
      </w:r>
      <w:r>
        <w:fldChar w:fldCharType="begin"/>
      </w:r>
      <w:r>
        <w:instrText xml:space="preserve"> PAGEREF _Toc512259950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"_Toc512259951" </w:instrText>
      </w:r>
      <w:r>
        <w:fldChar w:fldCharType="separate"/>
      </w:r>
      <w:r>
        <w:rPr>
          <w:rStyle w:val="16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事件流</w:t>
      </w:r>
      <w:r>
        <w:tab/>
      </w:r>
      <w:r>
        <w:fldChar w:fldCharType="begin"/>
      </w:r>
      <w:r>
        <w:instrText xml:space="preserve"> PAGEREF _Toc512259951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"_Toc512259952" </w:instrText>
      </w:r>
      <w:r>
        <w:fldChar w:fldCharType="separate"/>
      </w:r>
      <w:r>
        <w:rPr>
          <w:rStyle w:val="16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基本流</w:t>
      </w:r>
      <w:r>
        <w:tab/>
      </w:r>
      <w:r>
        <w:fldChar w:fldCharType="begin"/>
      </w:r>
      <w:r>
        <w:instrText xml:space="preserve"> PAGEREF _Toc512259952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"_Toc512259953" </w:instrText>
      </w:r>
      <w:r>
        <w:fldChar w:fldCharType="separate"/>
      </w:r>
      <w:r>
        <w:rPr>
          <w:rStyle w:val="16"/>
        </w:rPr>
        <w:t>3.1.1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基本流</w:t>
      </w:r>
      <w:r>
        <w:rPr>
          <w:rStyle w:val="16"/>
        </w:rPr>
        <w:t>-</w:t>
      </w:r>
      <w:r>
        <w:rPr>
          <w:rStyle w:val="16"/>
          <w:rFonts w:hint="eastAsia"/>
        </w:rPr>
        <w:t>注册</w:t>
      </w:r>
      <w:r>
        <w:tab/>
      </w:r>
      <w:r>
        <w:fldChar w:fldCharType="begin"/>
      </w:r>
      <w:r>
        <w:instrText xml:space="preserve"> PAGEREF _Toc512259953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"_Toc512259954" </w:instrText>
      </w:r>
      <w:r>
        <w:fldChar w:fldCharType="separate"/>
      </w:r>
      <w:r>
        <w:rPr>
          <w:rStyle w:val="16"/>
        </w:rPr>
        <w:t>3.1.2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备选流</w:t>
      </w:r>
      <w:r>
        <w:tab/>
      </w:r>
      <w:r>
        <w:fldChar w:fldCharType="begin"/>
      </w:r>
      <w:r>
        <w:instrText xml:space="preserve"> PAGEREF _Toc512259954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"_Toc512259955" </w:instrText>
      </w:r>
      <w:r>
        <w:fldChar w:fldCharType="separate"/>
      </w:r>
      <w:r>
        <w:rPr>
          <w:rStyle w:val="16"/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异常流</w:t>
      </w:r>
      <w:r>
        <w:tab/>
      </w:r>
      <w:r>
        <w:fldChar w:fldCharType="begin"/>
      </w:r>
      <w:r>
        <w:instrText xml:space="preserve"> PAGEREF _Toc512259955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"_Toc512259956" </w:instrText>
      </w:r>
      <w:r>
        <w:fldChar w:fldCharType="separate"/>
      </w:r>
      <w:r>
        <w:rPr>
          <w:rStyle w:val="16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_Toc512259956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"_Toc512259957" </w:instrText>
      </w:r>
      <w:r>
        <w:fldChar w:fldCharType="separate"/>
      </w:r>
      <w:r>
        <w:rPr>
          <w:rStyle w:val="16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_Toc512259957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"_Toc512259958" </w:instrText>
      </w:r>
      <w:r>
        <w:fldChar w:fldCharType="separate"/>
      </w:r>
      <w:r>
        <w:rPr>
          <w:rStyle w:val="16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_Toc512259958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keepNext w:val="0"/>
        <w:pageBreakBefore/>
      </w:pPr>
      <w:bookmarkStart w:id="1" w:name="_Toc512259949"/>
      <w:r>
        <w:rPr>
          <w:rFonts w:hint="eastAsia"/>
        </w:rPr>
        <w:t>用例描述</w:t>
      </w:r>
      <w:bookmarkEnd w:id="0"/>
      <w:bookmarkEnd w:id="1"/>
    </w:p>
    <w:p>
      <w:bookmarkStart w:id="2" w:name="_Toc235593198"/>
      <w:r>
        <w:rPr>
          <w:rFonts w:hint="eastAsia"/>
        </w:rPr>
        <w:t>本用例主要用于</w:t>
      </w:r>
      <w:r>
        <w:rPr>
          <w:rFonts w:hint="eastAsia"/>
          <w:lang w:val="en-US" w:eastAsia="zh-CN"/>
        </w:rPr>
        <w:t>停车场信息管理</w:t>
      </w:r>
      <w:r>
        <w:rPr>
          <w:rFonts w:hint="eastAsia"/>
        </w:rPr>
        <w:t>系统中的</w:t>
      </w:r>
      <w:r>
        <w:rPr>
          <w:rFonts w:hint="eastAsia"/>
          <w:lang w:val="en-US" w:eastAsia="zh-CN"/>
        </w:rPr>
        <w:t>车辆停车</w:t>
      </w:r>
      <w:r>
        <w:rPr>
          <w:rFonts w:hint="eastAsia"/>
        </w:rPr>
        <w:t>功能。</w:t>
      </w:r>
    </w:p>
    <w:p>
      <w:pPr>
        <w:pStyle w:val="2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>
      <w:r>
        <w:rPr>
          <w:rFonts w:hint="eastAsia"/>
        </w:rPr>
        <w:t>参与者主要是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。</w:t>
      </w:r>
    </w:p>
    <w:p>
      <w:pPr>
        <w:pStyle w:val="2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>
      <w:pPr>
        <w:pStyle w:val="3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>
      <w:pPr>
        <w:pStyle w:val="4"/>
      </w:pPr>
      <w:bookmarkStart w:id="8" w:name="_Toc512259953"/>
      <w:r>
        <w:rPr>
          <w:rFonts w:hint="eastAsia"/>
        </w:rPr>
        <w:t>基本流-注册</w:t>
      </w:r>
      <w:bookmarkEnd w:id="8"/>
    </w:p>
    <w:bookmarkEnd w:id="7"/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>用户</w:t>
      </w:r>
      <w:r>
        <w:rPr>
          <w:rFonts w:hint="eastAsia"/>
          <w:szCs w:val="21"/>
        </w:rPr>
        <w:t>点击“</w:t>
      </w:r>
      <w:r>
        <w:rPr>
          <w:rFonts w:hint="eastAsia"/>
          <w:szCs w:val="21"/>
          <w:lang w:val="en-US" w:eastAsia="zh-CN"/>
        </w:rPr>
        <w:t>停车</w:t>
      </w:r>
      <w:r>
        <w:rPr>
          <w:rFonts w:hint="eastAsia"/>
          <w:szCs w:val="21"/>
        </w:rPr>
        <w:t>”按钮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</w:t>
      </w:r>
      <w:r>
        <w:rPr>
          <w:rFonts w:hint="eastAsia"/>
          <w:szCs w:val="21"/>
          <w:lang w:val="en-US" w:eastAsia="zh-CN"/>
        </w:rPr>
        <w:t>停车</w:t>
      </w:r>
      <w:r>
        <w:rPr>
          <w:rFonts w:hint="eastAsia"/>
          <w:szCs w:val="21"/>
        </w:rPr>
        <w:t>页面，要求用户输入</w:t>
      </w:r>
      <w:r>
        <w:rPr>
          <w:rFonts w:hint="eastAsia"/>
          <w:szCs w:val="21"/>
          <w:lang w:val="en-US" w:eastAsia="zh-CN"/>
        </w:rPr>
        <w:t>车辆</w:t>
      </w:r>
      <w:r>
        <w:rPr>
          <w:rFonts w:hint="eastAsia"/>
          <w:szCs w:val="21"/>
        </w:rPr>
        <w:t>信息</w:t>
      </w:r>
      <w:r>
        <w:rPr>
          <w:rFonts w:hint="eastAsia"/>
          <w:szCs w:val="21"/>
          <w:lang w:val="en-US" w:eastAsia="zh-CN"/>
        </w:rPr>
        <w:t>和停车信息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用户输入</w:t>
      </w:r>
      <w:r>
        <w:rPr>
          <w:rFonts w:hint="eastAsia"/>
          <w:szCs w:val="21"/>
          <w:lang w:val="en-US" w:eastAsia="zh-CN"/>
        </w:rPr>
        <w:t>车牌号、车主联系方式、车位号</w:t>
      </w:r>
      <w:r>
        <w:rPr>
          <w:rFonts w:hint="eastAsia"/>
          <w:szCs w:val="21"/>
        </w:rPr>
        <w:t>等各项信息。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>系统验证车牌号、车位号是否唯一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>
        <w:rPr>
          <w:rFonts w:hint="eastAsia"/>
          <w:szCs w:val="21"/>
          <w:lang w:val="en-US" w:eastAsia="zh-CN"/>
        </w:rPr>
        <w:t>确认停车</w:t>
      </w:r>
      <w:r>
        <w:rPr>
          <w:rFonts w:hint="eastAsia"/>
          <w:szCs w:val="21"/>
        </w:rPr>
        <w:t>”按钮。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</w:rPr>
        <w:t>系统执行</w:t>
      </w:r>
      <w:r>
        <w:rPr>
          <w:rFonts w:hint="eastAsia"/>
          <w:szCs w:val="21"/>
          <w:lang w:val="en-US" w:eastAsia="zh-CN"/>
        </w:rPr>
        <w:t>确认</w:t>
      </w:r>
      <w:r>
        <w:rPr>
          <w:rFonts w:hint="eastAsia"/>
          <w:szCs w:val="21"/>
        </w:rPr>
        <w:t>操作，</w:t>
      </w:r>
      <w:r>
        <w:rPr>
          <w:rFonts w:hint="eastAsia"/>
          <w:szCs w:val="21"/>
          <w:lang w:val="en-US" w:eastAsia="zh-CN"/>
        </w:rPr>
        <w:t>停车</w:t>
      </w:r>
      <w:r>
        <w:rPr>
          <w:rFonts w:hint="eastAsia"/>
          <w:szCs w:val="21"/>
        </w:rPr>
        <w:t>成功后，</w:t>
      </w:r>
      <w:r>
        <w:rPr>
          <w:rFonts w:hint="eastAsia"/>
          <w:szCs w:val="21"/>
          <w:lang w:val="en-US" w:eastAsia="zh-CN"/>
        </w:rPr>
        <w:t>返回主界面</w:t>
      </w:r>
      <w:r>
        <w:rPr>
          <w:rFonts w:hint="eastAsia"/>
          <w:szCs w:val="21"/>
        </w:rPr>
        <w:t>。</w:t>
      </w:r>
    </w:p>
    <w:p>
      <w:pPr>
        <w:pStyle w:val="4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>
      <w:pPr>
        <w:numPr>
          <w:ilvl w:val="0"/>
          <w:numId w:val="3"/>
        </w:numPr>
        <w:rPr>
          <w:szCs w:val="21"/>
        </w:rPr>
      </w:pPr>
      <w:r>
        <w:rPr>
          <w:rFonts w:hint="eastAsia" w:eastAsia="黑体"/>
          <w:bCs/>
          <w:sz w:val="24"/>
        </w:rPr>
        <w:t>无</w:t>
      </w:r>
    </w:p>
    <w:p>
      <w:pPr>
        <w:pStyle w:val="3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>
      <w:r>
        <w:rPr>
          <w:rFonts w:hint="eastAsia"/>
        </w:rPr>
        <w:t>基本流：</w:t>
      </w:r>
    </w:p>
    <w:p>
      <w:r>
        <w:rPr>
          <w:rFonts w:hint="eastAsia"/>
        </w:rPr>
        <w:t>4a：用户输入</w:t>
      </w:r>
      <w:r>
        <w:rPr>
          <w:rFonts w:hint="eastAsia"/>
          <w:lang w:val="en-US" w:eastAsia="zh-CN"/>
        </w:rPr>
        <w:t>车位号</w:t>
      </w:r>
      <w:r>
        <w:rPr>
          <w:rFonts w:hint="eastAsia"/>
        </w:rPr>
        <w:t>后，当</w:t>
      </w:r>
      <w:r>
        <w:rPr>
          <w:rFonts w:hint="eastAsia"/>
          <w:lang w:val="en-US" w:eastAsia="zh-CN"/>
        </w:rPr>
        <w:t>车位正在使用</w:t>
      </w:r>
      <w:r>
        <w:rPr>
          <w:rFonts w:hint="eastAsia"/>
        </w:rPr>
        <w:t>时，系统给出提示“</w:t>
      </w:r>
      <w:r>
        <w:rPr>
          <w:rFonts w:hint="eastAsia"/>
          <w:lang w:val="en-US" w:eastAsia="zh-CN"/>
        </w:rPr>
        <w:t>车位正在被使用</w:t>
      </w:r>
      <w:r>
        <w:rPr>
          <w:rFonts w:hint="eastAsia"/>
        </w:rPr>
        <w:t>”。</w:t>
      </w:r>
    </w:p>
    <w:p>
      <w:pPr>
        <w:rPr>
          <w:rFonts w:hint="eastAsia"/>
        </w:rPr>
      </w:pPr>
      <w:r>
        <w:rPr>
          <w:rFonts w:hint="eastAsia"/>
        </w:rPr>
        <w:t>5a: 当必填项没有填写，或者数据格式错误时，提示相应的错误信息。</w:t>
      </w:r>
    </w:p>
    <w:p>
      <w:r>
        <w:rPr>
          <w:rFonts w:hint="eastAsia"/>
        </w:rPr>
        <w:t>6a: 当必填项没有填写，或者数据格式错误时，提示相应的错误信息。</w:t>
      </w:r>
    </w:p>
    <w:p>
      <w:pPr>
        <w:pStyle w:val="2"/>
      </w:pPr>
      <w:bookmarkStart w:id="12" w:name="_Toc235593203"/>
      <w:bookmarkStart w:id="13" w:name="_Toc512259956"/>
      <w:r>
        <w:rPr>
          <w:rFonts w:hint="eastAsia"/>
        </w:rPr>
        <w:t>特殊需求</w:t>
      </w:r>
      <w:bookmarkEnd w:id="12"/>
      <w:bookmarkEnd w:id="13"/>
    </w:p>
    <w:p>
      <w:pPr>
        <w:numPr>
          <w:ilvl w:val="0"/>
          <w:numId w:val="4"/>
        </w:numPr>
      </w:pPr>
      <w:r>
        <w:rPr>
          <w:rFonts w:hint="eastAsia"/>
        </w:rPr>
        <w:t>邮箱、固定号码、手机号码的格式都要符合标准要求</w:t>
      </w:r>
    </w:p>
    <w:p>
      <w:pPr>
        <w:pStyle w:val="2"/>
      </w:pPr>
      <w:bookmarkStart w:id="14" w:name="_Toc512259957"/>
      <w:bookmarkStart w:id="15" w:name="_Toc235593204"/>
      <w:r>
        <w:rPr>
          <w:rFonts w:hint="eastAsia"/>
        </w:rPr>
        <w:t>前置条件</w:t>
      </w:r>
      <w:bookmarkEnd w:id="14"/>
      <w:bookmarkEnd w:id="15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1、基本流操作前</w:t>
      </w:r>
      <w:r>
        <w:rPr>
          <w:rFonts w:hint="eastAsia"/>
          <w:lang w:val="en-US" w:eastAsia="zh-CN"/>
        </w:rPr>
        <w:t>必须进入停车场信息管理系统的主页面</w:t>
      </w:r>
    </w:p>
    <w:p>
      <w:pPr>
        <w:pStyle w:val="2"/>
      </w:pPr>
      <w:bookmarkStart w:id="16" w:name="_Toc512259958"/>
      <w:bookmarkStart w:id="17" w:name="_Toc235593205"/>
      <w:r>
        <w:rPr>
          <w:rFonts w:hint="eastAsia"/>
        </w:rPr>
        <w:t>后置条件</w:t>
      </w:r>
      <w:bookmarkEnd w:id="16"/>
      <w:bookmarkEnd w:id="17"/>
    </w:p>
    <w:p>
      <w:pPr>
        <w:rPr>
          <w:szCs w:val="21"/>
        </w:rPr>
      </w:pPr>
      <w:r>
        <w:rPr>
          <w:rFonts w:hint="eastAsia"/>
        </w:rPr>
        <w:t>基本流-</w:t>
      </w:r>
      <w:r>
        <w:rPr>
          <w:rFonts w:hint="eastAsia"/>
          <w:lang w:val="en-US" w:eastAsia="zh-CN"/>
        </w:rPr>
        <w:t>车辆停车</w:t>
      </w:r>
      <w:r>
        <w:rPr>
          <w:rFonts w:hint="eastAsia"/>
        </w:rPr>
        <w:t>信息成功添</w:t>
      </w:r>
      <w:bookmarkStart w:id="18" w:name="_GoBack"/>
      <w:bookmarkEnd w:id="18"/>
      <w:r>
        <w:rPr>
          <w:rFonts w:hint="eastAsia"/>
        </w:rPr>
        <w:t>加到系统中。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354D"/>
    <w:multiLevelType w:val="multilevel"/>
    <w:tmpl w:val="0BC8354D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>
    <w:nsid w:val="667D0474"/>
    <w:multiLevelType w:val="multilevel"/>
    <w:tmpl w:val="667D047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8CA6CA8"/>
    <w:multiLevelType w:val="multilevel"/>
    <w:tmpl w:val="68CA6CA8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0F9F7F1C"/>
    <w:rsid w:val="302E1A5D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uiPriority w:val="0"/>
    <w:pPr>
      <w:shd w:val="clear" w:color="auto" w:fill="000080"/>
    </w:pPr>
  </w:style>
  <w:style w:type="paragraph" w:styleId="8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customStyle="1" w:styleId="17">
    <w:name w:val="标题 1 Char"/>
    <w:basedOn w:val="15"/>
    <w:link w:val="2"/>
    <w:qFormat/>
    <w:uiPriority w:val="0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18">
    <w:name w:val="标题 2 Char"/>
    <w:basedOn w:val="15"/>
    <w:link w:val="3"/>
    <w:qFormat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2</Pages>
  <Words>172</Words>
  <Characters>986</Characters>
  <Lines>8</Lines>
  <Paragraphs>2</Paragraphs>
  <TotalTime>13</TotalTime>
  <ScaleCrop>false</ScaleCrop>
  <LinksUpToDate>false</LinksUpToDate>
  <CharactersWithSpaces>1156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2018-04-23T07:17:00Z</dcterms:created>
  <dc:creator>neusoft</dc:creator>
  <cp:lastModifiedBy>WU_shaoang</cp:lastModifiedBy>
  <dcterms:modified xsi:type="dcterms:W3CDTF">2020-07-15T16:29:47Z</dcterms:modified>
  <dc:title>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