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0"/>
        </w:rPr>
        <w:t>ОТЧЁТ ПО ПРОЕКТУ №1</w:t>
        <w:br/>
        <w:t>«Антифрод рекламного трафика»</w:t>
        <w:br/>
      </w:r>
    </w:p>
    <w:p>
      <w:pPr>
        <w:jc w:val="center"/>
      </w:pPr>
      <w:r>
        <w:rPr>
          <w:i/>
          <w:color w:val="595959"/>
          <w:sz w:val="24"/>
        </w:rPr>
        <w:t>Архитектура, потоковая обработка (Kafka), ML-скоринг (XGBoost) и микросервисная реализация</w:t>
        <w:br/>
      </w:r>
    </w:p>
    <w:p>
      <w:pPr>
        <w:jc w:val="right"/>
      </w:pPr>
      <w:r>
        <w:rPr>
          <w:b/>
          <w:sz w:val="20"/>
        </w:rPr>
        <w:t>Студент: Денис Куравин</w:t>
        <w:br/>
        <w:t>Технологии: Python 3.12, FastAPI, Kafka, XGBoost, Redis, ClickHouse, Docker</w:t>
        <w:br/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Постановка задачи</w:t>
      </w:r>
    </w:p>
    <w:p>
      <w:r>
        <w:t>1.1. Проблема: В рекламных сетях (PPC/AdTech) до 20-30% трафика может составлять фрод (накрутка кликов ботами, headless-браузерами, фермами кликов). Это приводит к необоснованному расходу рекламных бюджетов клиентов.</w:t>
        <w:br/>
        <w:t>1.2. Цель: Создание высокопроизводительного сервиса потокового скоринга кликстрима с ультранизкой задержкой (&lt; 15 мс) для мгновенного выявления и фильтрации нелегитимных кликов.</w:t>
        <w:br/>
        <w:t>1.3. Пользователи: Рекламный сервер (DSP/Ad Engine), аналитики данных и администраторы рекламной сети.</w:t>
        <w:br/>
        <w:t>1.4. Входные данные: ClickEvent (UUID клика, ID паблишера, IP, User-Agent, интервал задержки, устройство, ОС, гео).</w:t>
        <w:br/>
        <w:t>1.5. Выходные данные: FraudEvaluationResult (статус ALLOWED/SUSPICIOUS/BLOCKED, вероятность фрода, сработавшие правила, время ответа).</w:t>
      </w:r>
    </w:p>
    <w:p>
      <w:pPr>
        <w:pStyle w:val="Heading1"/>
      </w:pPr>
      <w:r>
        <w:t>2. Архитектура системы</w:t>
      </w:r>
    </w:p>
    <w:p>
      <w:r>
        <w:t>Архитектура построена на принципах разделения Hot Path (быстрый синхронный скоринг через FastAPI + Redis) и Cold Path (потоковая аналитика в Kafka + батчевая вставка в ClickHouse для визуализации в Grafana).</w:t>
        <w:br/>
        <w:t>Сервисы:</w:t>
        <w:br/>
        <w:t>• Antifraud API Service (FastAPI) — синхронная оценка кликов с использованием цепочки обязанностей и гибридной стратегии скоринга;</w:t>
        <w:br/>
        <w:t>• Redis 7.2 — кэширование счетчиков частоты кликов со скользящими окнами (1 мин, 5 мин) и черные списки IP;</w:t>
        <w:br/>
        <w:t>• Apache Kafka — стриминг событий в топики clicks.raw, clicks.fraud, clicks.dlq;</w:t>
        <w:br/>
        <w:t>• ClickHouse — колоночная аналитическая база данных для долговременного хранения истории и построения отчетов;</w:t>
        <w:br/>
        <w:t>• Grafana — аналитический дашборд оперативного мониторинга ключевых показателей (Fraud Rate, RPS, Latency).</w:t>
      </w:r>
    </w:p>
    <w:p>
      <w:pPr>
        <w:pStyle w:val="Heading1"/>
      </w:pPr>
      <w:r>
        <w:t>3. Стриминг и очереди сообщений (Apache Kafka)</w:t>
      </w:r>
    </w:p>
    <w:p>
      <w:r>
        <w:t>Спецификация топиков: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Топик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Partitions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84"/>
          </w:tcPr>
          <w:p>
            <w:r>
              <w:t>clicks.raw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Сырой поток входящих кликов со всех точек приема</w:t>
            </w:r>
          </w:p>
        </w:tc>
      </w:tr>
      <w:tr>
        <w:tc>
          <w:tcPr>
            <w:tcW w:type="dxa" w:w="2484"/>
          </w:tcPr>
          <w:p>
            <w:r>
              <w:t>clicks.fraud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Выявленные мошеннические события для биллинга</w:t>
            </w:r>
          </w:p>
        </w:tc>
      </w:tr>
      <w:tr>
        <w:tc>
          <w:tcPr>
            <w:tcW w:type="dxa" w:w="2484"/>
          </w:tcPr>
          <w:p>
            <w:r>
              <w:t>clicks.dlq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JSON + Error</w:t>
            </w:r>
          </w:p>
        </w:tc>
        <w:tc>
          <w:tcPr>
            <w:tcW w:type="dxa" w:w="2484"/>
          </w:tcPr>
          <w:p>
            <w:r>
              <w:t>Dead Letter Queue для ошибочных сообщений</w:t>
            </w:r>
          </w:p>
        </w:tc>
      </w:tr>
    </w:tbl>
    <w:p>
      <w:r>
        <w:br/>
        <w:t>Consumer Groups: ad-fraud-detector-workers (12 воркеров), ad-clickhouse-analytics-sink (пачечная запись).</w:t>
      </w:r>
    </w:p>
    <w:p>
      <w:pPr>
        <w:pStyle w:val="Heading1"/>
      </w:pPr>
      <w:r>
        <w:t>4. Хранилища данных</w:t>
      </w:r>
    </w:p>
    <w:p>
      <w:r>
        <w:t>• Redis: выбран благодаря O(1) задержкам (&lt; 0.5 мс) для проверки частоты запросов и черных списков.</w:t>
        <w:br/>
        <w:t>• ClickHouse: колоночная СУБД с компрессией ZSTD и движком MergeTree, партиционирование по месяцам toYYYYMM(event_time), сортировка по (publisher_id, campaign_id, event_time). Оптимальна для векторной аналитики миллиардов событий.</w:t>
      </w:r>
    </w:p>
    <w:p>
      <w:pPr>
        <w:pStyle w:val="Heading1"/>
      </w:pPr>
      <w:r>
        <w:t>5. API сервиса</w:t>
      </w:r>
    </w:p>
    <w:p>
      <w:r>
        <w:t>Реализованы эндпоинты:</w:t>
        <w:br/>
        <w:t>• POST /api/v1/clicks/evaluate — синхронная оценка одиночного клика;</w:t>
        <w:br/>
        <w:t>• POST /api/v1/clicks/batch — пакетная обработка кликов (чтение батчами из брокера);</w:t>
        <w:br/>
        <w:t>• GET /api/v1/metrics — аналитическая сводка (процент фрода, средняя задержка, топ IP);</w:t>
        <w:br/>
        <w:t>• POST /api/v1/strategy — динамическое переключение стратегии скоринга (hybrid, ml_only, rules_only);</w:t>
        <w:br/>
        <w:t>• GET /api/v1/health — проверка статуса сервиса и Circuit Breaker.</w:t>
      </w:r>
    </w:p>
    <w:p>
      <w:pPr>
        <w:pStyle w:val="Heading1"/>
      </w:pPr>
      <w:r>
        <w:t>6. Примененные паттерны проектирования</w:t>
      </w:r>
    </w:p>
    <w:p>
      <w:r>
        <w:t>1. Chain of Responsibility (Цепочка обязанностей): Организует последовательную фильтрацию (BlacklistIpHandler -&gt; UserAgentBotHandler -&gt; FastClickRateLimitHandler -&gt; ScoringStrategyHandler). Позволяет отсекать явных ботов на ранних шагах без вызова тяжелого ML-инференса.</w:t>
        <w:br/>
        <w:br/>
        <w:t>2. Strategy (Стратегия): Семейство алгоритмов скоринга (RuleBasedStrategy, MLOnlyStrategy, HybridScoringStrategy). Позволяет динамически настраивать баланс эвристик и ML-модели.</w:t>
        <w:br/>
        <w:br/>
        <w:t>3. Repository (Репозиторий): Изолирует бизнес-логику от уровня хранения (IClickRepository, InMemoryClickRepository, ClickHouseRedisRepository). Обеспечивает автономность и локальное тестирование.</w:t>
        <w:br/>
        <w:br/>
        <w:t>4. Circuit Breaker (Предохранитель): Защищает сервис от каскадных сбоев при падении внешних баз и брокеров (CLOSED/OPEN/HALF_OPEN).</w:t>
      </w:r>
    </w:p>
    <w:p>
      <w:pPr>
        <w:pStyle w:val="Heading1"/>
      </w:pPr>
      <w:r>
        <w:t>7. Модуль машинного обучения (XGBoost)</w:t>
      </w:r>
    </w:p>
    <w:p>
      <w:r>
        <w:t>Обучена модель градиентного бустинга XGBoost на синтетическом датасете кликстрима (20 000 записей). Конвейер признаков (FeaturePipeline) извлекает 9 параметров: частота кликов за 1 и 5 минут, интервал от показа до клика, сигнатура User-Agent, признак датацентрового IP, несовпадение устройства и ОС, ночной час.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Baseline (Logistic Regression)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XGBoost Classifier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Прирост</w:t>
            </w:r>
          </w:p>
        </w:tc>
      </w:tr>
      <w:tr>
        <w:tc>
          <w:tcPr>
            <w:tcW w:type="dxa" w:w="2484"/>
          </w:tcPr>
          <w:p>
            <w:r>
              <w:t>ROC-AUC</w:t>
            </w:r>
          </w:p>
        </w:tc>
        <w:tc>
          <w:tcPr>
            <w:tcW w:type="dxa" w:w="2484"/>
          </w:tcPr>
          <w:p>
            <w:r>
              <w:t>0.9590</w:t>
            </w:r>
          </w:p>
        </w:tc>
        <w:tc>
          <w:tcPr>
            <w:tcW w:type="dxa" w:w="2484"/>
          </w:tcPr>
          <w:p>
            <w:r>
              <w:t>0.9877</w:t>
            </w:r>
          </w:p>
        </w:tc>
        <w:tc>
          <w:tcPr>
            <w:tcW w:type="dxa" w:w="2484"/>
          </w:tcPr>
          <w:p>
            <w:r>
              <w:t>+0.0287</w:t>
            </w:r>
          </w:p>
        </w:tc>
      </w:tr>
      <w:tr>
        <w:tc>
          <w:tcPr>
            <w:tcW w:type="dxa" w:w="2484"/>
          </w:tcPr>
          <w:p>
            <w:r>
              <w:t>PR-AUC</w:t>
            </w:r>
          </w:p>
        </w:tc>
        <w:tc>
          <w:tcPr>
            <w:tcW w:type="dxa" w:w="2484"/>
          </w:tcPr>
          <w:p>
            <w:r>
              <w:t>0.9098</w:t>
            </w:r>
          </w:p>
        </w:tc>
        <w:tc>
          <w:tcPr>
            <w:tcW w:type="dxa" w:w="2484"/>
          </w:tcPr>
          <w:p>
            <w:r>
              <w:t>0.9559</w:t>
            </w:r>
          </w:p>
        </w:tc>
        <w:tc>
          <w:tcPr>
            <w:tcW w:type="dxa" w:w="2484"/>
          </w:tcPr>
          <w:p>
            <w:r>
              <w:t>+0.0461</w:t>
            </w:r>
          </w:p>
        </w:tc>
      </w:tr>
      <w:tr>
        <w:tc>
          <w:tcPr>
            <w:tcW w:type="dxa" w:w="2484"/>
          </w:tcPr>
          <w:p>
            <w:r>
              <w:t>F1-Score</w:t>
            </w:r>
          </w:p>
        </w:tc>
        <w:tc>
          <w:tcPr>
            <w:tcW w:type="dxa" w:w="2484"/>
          </w:tcPr>
          <w:p>
            <w:r>
              <w:t>0.8485</w:t>
            </w:r>
          </w:p>
        </w:tc>
        <w:tc>
          <w:tcPr>
            <w:tcW w:type="dxa" w:w="2484"/>
          </w:tcPr>
          <w:p>
            <w:r>
              <w:t>0.8809</w:t>
            </w:r>
          </w:p>
        </w:tc>
        <w:tc>
          <w:tcPr>
            <w:tcW w:type="dxa" w:w="2484"/>
          </w:tcPr>
          <w:p>
            <w:r>
              <w:t>+0.0324</w:t>
            </w:r>
          </w:p>
        </w:tc>
      </w:tr>
      <w:tr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0.9657</w:t>
            </w:r>
          </w:p>
        </w:tc>
        <w:tc>
          <w:tcPr>
            <w:tcW w:type="dxa" w:w="2484"/>
          </w:tcPr>
          <w:p>
            <w:r>
              <w:t>0.8869</w:t>
            </w:r>
          </w:p>
        </w:tc>
        <w:tc>
          <w:tcPr>
            <w:tcW w:type="dxa" w:w="2484"/>
          </w:tcPr>
          <w:p>
            <w:r>
              <w:t>-</w:t>
            </w:r>
          </w:p>
        </w:tc>
      </w:tr>
      <w:tr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0.7567</w:t>
            </w:r>
          </w:p>
        </w:tc>
        <w:tc>
          <w:tcPr>
            <w:tcW w:type="dxa" w:w="2484"/>
          </w:tcPr>
          <w:p>
            <w:r>
              <w:t>0.8750</w:t>
            </w:r>
          </w:p>
        </w:tc>
        <w:tc>
          <w:tcPr>
            <w:tcW w:type="dxa" w:w="2484"/>
          </w:tcPr>
          <w:p>
            <w:r>
              <w:t>+11.83%</w:t>
            </w:r>
          </w:p>
        </w:tc>
      </w:tr>
    </w:tbl>
    <w:p>
      <w:r>
        <w:br/>
        <w:t>Топ-3 важных признака: clicks_5min (45.3%), is_datacenter_ip (21.4%), clicks_1min (11.9%).</w:t>
      </w:r>
    </w:p>
    <w:p>
      <w:pPr>
        <w:pStyle w:val="Heading1"/>
      </w:pPr>
      <w:r>
        <w:t>8. Разделы RL / LLM-RAG / Video-CV (Обоснование N/A)</w:t>
      </w:r>
    </w:p>
    <w:p>
      <w:r>
        <w:t>В соответствии со спецификацией Проекта №1 («Антифрод рекламного трафика»):</w:t>
        <w:br/>
        <w:t>• RL (Обучение с подкреплением): Не применимо, задача решена методом бинарной потоковой классификации с учителем.</w:t>
        <w:br/>
        <w:t>• LLM / RAG: Не применимо, анализ кликстрима требует жесткого лимита времени ответа &lt; 15 мс и работает с табличными признаками.</w:t>
        <w:br/>
        <w:t>• Video / CV: Не применимо к Проекту №1 (компьютерное зрение предусмотрено в Проекте №2).</w:t>
      </w:r>
    </w:p>
    <w:p>
      <w:pPr>
        <w:pStyle w:val="Heading1"/>
      </w:pPr>
      <w:r>
        <w:t>9. Надежность и Docker-развертывание</w:t>
      </w:r>
    </w:p>
    <w:p>
      <w:r>
        <w:t>• Идемпотентность по click_id.</w:t>
        <w:br/>
        <w:t>• Предохранитель Circuit Breaker для отказоустойчивости.</w:t>
        <w:br/>
        <w:t>• Dockerfile и docker-compose.yml для оркестрации API, Kafka, Zookeeper, Redis, ClickHouse, Grafana.</w:t>
      </w:r>
    </w:p>
    <w:p>
      <w:pPr>
        <w:pStyle w:val="Heading1"/>
      </w:pPr>
      <w:r>
        <w:t>10. Тестирование и демонстрация</w:t>
      </w:r>
    </w:p>
    <w:p>
      <w:r>
        <w:t>Успешно выполнен сьют автоматических тестов (pytest): 7 из 7 тестов пройдены успешно (100%).</w:t>
        <w:br/>
        <w:t>Результаты симуляции реального потока кликов:</w:t>
        <w:br/>
        <w:t>• Всего обработано кликов: 30</w:t>
        <w:br/>
        <w:t>• Выявлено фрода: 7 (23.3%)</w:t>
        <w:br/>
        <w:t>• Средняя задержка обработки (Latency): 2.82 мс (норматив &lt; 15 мс выполнен с пятикратным запасом).</w:t>
      </w:r>
    </w:p>
    <w:p>
      <w:pPr>
        <w:pStyle w:val="Heading1"/>
      </w:pPr>
      <w:r>
        <w:t>11. Выводы</w:t>
      </w:r>
    </w:p>
    <w:p>
      <w:r>
        <w:t>1. Создана полнофункциональная архитектура сервиса антифрода рекламного трафика.</w:t>
        <w:br/>
        <w:t>2. Реализовано сочетание правил и ML-модели XGBoost с высоким качеством (ROC-AUC 0.9877).</w:t>
        <w:br/>
        <w:t>3. Внедрены и протестированы паттерны Chain of Responsibility, Strategy, Repository, Circuit Breaker.</w:t>
        <w:br/>
        <w:t>4. Подготовлены все конфигурации развертывания и документация.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