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0"/>
        </w:rPr>
        <w:t>ОТЧЁТ ПО ПРОЕКТУ №4</w:t>
        <w:br/>
        <w:t>«Анализ тональности финансовых новостей»</w:t>
        <w:br/>
      </w:r>
    </w:p>
    <w:p>
      <w:pPr>
        <w:jc w:val="center"/>
      </w:pPr>
      <w:r>
        <w:rPr>
          <w:i/>
          <w:color w:val="595959"/>
          <w:sz w:val="24"/>
        </w:rPr>
        <w:t>Потоковая обработка (Kafka), NER, FinBERT, ClickHouse, Elasticsearch и реактивные алерты</w:t>
        <w:br/>
      </w:r>
    </w:p>
    <w:p>
      <w:pPr>
        <w:jc w:val="right"/>
      </w:pPr>
      <w:r>
        <w:rPr>
          <w:b/>
          <w:sz w:val="20"/>
        </w:rPr>
        <w:t>Студент: Денис Куравин</w:t>
        <w:br/>
        <w:t>Технологии: Python 3.12, Kafka, Hugging Face/FinBERT, Elasticsearch, ClickHouse, FastAPI, Docker</w:t>
        <w:br/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Постановка задачи</w:t>
      </w:r>
    </w:p>
    <w:p>
      <w:r>
        <w:t>1.1. Проблема: В условиях высокой волатильности финансового рынка трейдерам и риск-менеджерам требуется мгновенный анализ новостного фона. Стандартные общеязыковые классификаторы тональности дают сбои в финансовом контексте (например, формулировка 'падение издержек' ошибочно воспринимается как негатив из-за слова 'падение').</w:t>
        <w:br/>
        <w:t>1.2. Цель: Разработка потокового сервиса анализа финансовых новостей с извлечением компаний (NER), расчетом сентимента (FinBERT) и формированием тепловой карты рынка с реактивным оповещением трейдеров.</w:t>
        <w:br/>
        <w:t>1.3. Пользователи: Алготрейдеры, инвестиционные аналитики, риск-менеджеры банков и инвестфондов.</w:t>
        <w:br/>
        <w:t>1.4. Входные данные: Новостные сообщения (заголовок, тело, источник, дата публикации).</w:t>
        <w:br/>
        <w:t>1.5. Выходные данные: NewsAnalysisResult (тональность POSITIVE/NEGATIVE/NEUTRAL, сентимент-скор от -1.0 до +1.0, тикеры компаний, ключевые факторы).</w:t>
      </w:r>
    </w:p>
    <w:p>
      <w:pPr>
        <w:pStyle w:val="Heading1"/>
      </w:pPr>
      <w:r>
        <w:t>2. Архитектура системы</w:t>
      </w:r>
    </w:p>
    <w:p>
      <w:r>
        <w:t>Система построена на принципах событийно-ориентированного потокового конвейера:</w:t>
        <w:br/>
        <w:t>• Financial Sentiment API (FastAPI) — синхронный и пакетный анализ публикаций, REST-доступ к аналитике;</w:t>
        <w:br/>
        <w:t>• Financial NER Extractor — извлечение тикеров и названий эмитентов Мосбиржи (SBER, GAZP, YDEX, T, LKOH) и NASDAQ (NVDA, AAPL);</w:t>
        <w:br/>
        <w:t>• FinBERT Sentiment Core — глубокий финансовый анализ тональности с учетом контекста корпоративных финансов;</w:t>
        <w:br/>
        <w:t>• Apache Kafka — стриминг событий в топики financial.news.raw, financial.news.sentiment, financial.news.alerts;</w:t>
        <w:br/>
        <w:t>• Elasticsearch — полнотекстовый поиск новостей и морфологическая фильтрация;</w:t>
        <w:br/>
        <w:t>• ClickHouse — аналитическое хранение рядов настроений для построения графиков и тепловых карт.</w:t>
      </w:r>
    </w:p>
    <w:p>
      <w:pPr>
        <w:pStyle w:val="Heading1"/>
      </w:pPr>
      <w:r>
        <w:t>3. Стриминг и очереди сообщений (Apache Kafka)</w:t>
      </w:r>
    </w:p>
    <w:p>
      <w:r>
        <w:t>Спецификация топиков: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Топик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Partitions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84"/>
          </w:tcPr>
          <w:p>
            <w:r>
              <w:t>financial.news.raw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Сырой поток входящих новостных сообщений</w:t>
            </w:r>
          </w:p>
        </w:tc>
      </w:tr>
      <w:tr>
        <w:tc>
          <w:tcPr>
            <w:tcW w:type="dxa" w:w="2484"/>
          </w:tcPr>
          <w:p>
            <w:r>
              <w:t>financial.news.sentiment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Публикации, обогащенные тикерами и оценкой тональности</w:t>
            </w:r>
          </w:p>
        </w:tc>
      </w:tr>
      <w:tr>
        <w:tc>
          <w:tcPr>
            <w:tcW w:type="dxa" w:w="2484"/>
          </w:tcPr>
          <w:p>
            <w:r>
              <w:t>financial.news.alerts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Срочные алерты для торговых десков при резком негативе</w:t>
            </w:r>
          </w:p>
        </w:tc>
      </w:tr>
    </w:tbl>
    <w:p>
      <w:r>
        <w:br/>
        <w:t>Consumer Group: sentiment-analysis-workers (8 реплик для горизонтального масштабирования).</w:t>
      </w:r>
    </w:p>
    <w:p>
      <w:pPr>
        <w:pStyle w:val="Heading1"/>
      </w:pPr>
      <w:r>
        <w:t>4. Хранилища данных (ClickHouse &amp; Elasticsearch)</w:t>
      </w:r>
    </w:p>
    <w:p>
      <w:r>
        <w:t>• ClickHouse: таблица company_sentiment_stream с движком MergeTree, партиционирование toYYYYMM(event_time), сортировка по (ticker, event_time). Оптимальна для агрегации сентимент-индекса за часы, дни и месяцы.</w:t>
        <w:br/>
        <w:t>• Elasticsearch: индекс financial-news-index для полнотекстового поиска и морфологического анализа.</w:t>
      </w:r>
    </w:p>
    <w:p>
      <w:pPr>
        <w:pStyle w:val="Heading1"/>
      </w:pPr>
      <w:r>
        <w:t>5. API сервиса</w:t>
      </w:r>
    </w:p>
    <w:p>
      <w:r>
        <w:t>• POST /api/v1/news/analyze — анализ одиночной финансовой публикации;</w:t>
        <w:br/>
        <w:t>• POST /api/v1/news/batch — пакетная обработка новостного потока;</w:t>
        <w:br/>
        <w:t>• GET /api/v1/sentiment/company/{ticker} — агрегированный сентимент по тикеру и рыночный тренд (BULLISH/BEARISH);</w:t>
        <w:br/>
        <w:t>• GET /api/v1/sentiment/overview — тепловая карта рынка (Heatmap) по всем компаниям;</w:t>
        <w:br/>
        <w:t>• GET /api/v1/alerts — список сработавших риск-алертов для торговых терминалов;</w:t>
        <w:br/>
        <w:t>• GET /api/v1/health — статус сервиса.</w:t>
      </w:r>
    </w:p>
    <w:p>
      <w:pPr>
        <w:pStyle w:val="Heading1"/>
      </w:pPr>
      <w:r>
        <w:t>6. Примененные паттерны проектирования</w:t>
      </w:r>
    </w:p>
    <w:p>
      <w:r>
        <w:t>В проекте реализованы 5 обязательных паттернов GoF:</w:t>
        <w:br/>
        <w:t>1. Pipeline (Конвейер): Управляет стадиями CleanAndValidate -&gt; NERExtraction -&gt; SentimentScoring -&gt; BuildResult -&gt; NotifyAndPersist.</w:t>
        <w:br/>
        <w:t>2. Strategy (Стратегия): Семейство алгоритмов классификации тональности (FinBERTStrategy и LexiconStrategy).</w:t>
        <w:br/>
        <w:t>3. Observer (Наблюдатель): Реактивное оповещение подписчиков. RiskAlertObserver перехватывает резкие падения сентимента (score &lt;= -0.40) и публикует алерты трейдерам.</w:t>
        <w:br/>
        <w:t>4. Adapter (Адаптер): IElasticsearchAdapter и IClickHouseAdapter изолируют бизнес-логику от сетевых СУБД с поддержкой локального fallback.</w:t>
        <w:br/>
        <w:t>5. Repository (Репозиторий): INewsRepository инкапсулирует хранение новостей и расчет агрегатов по тикерам (CompanySentimentAggregate).</w:t>
      </w:r>
    </w:p>
    <w:p>
      <w:pPr>
        <w:pStyle w:val="Heading1"/>
      </w:pPr>
      <w:r>
        <w:t>7. Модуль NLP и машинного обучения (FinBERT)</w:t>
      </w:r>
    </w:p>
    <w:p>
      <w:r>
        <w:t>Бенчмарк: Financial PhraseBank &amp; FiQA (4 840 аннотированных финансовых высказываний).</w:t>
        <w:br/>
        <w:t>Сравнение метрик качества классификации тональности: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VADER (Baseline)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General RoBERTa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FinBERT Model</w:t>
            </w:r>
          </w:p>
        </w:tc>
      </w:tr>
      <w:tr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0.612</w:t>
            </w:r>
          </w:p>
        </w:tc>
        <w:tc>
          <w:tcPr>
            <w:tcW w:type="dxa" w:w="2484"/>
          </w:tcPr>
          <w:p>
            <w:r>
              <w:t>0.784</w:t>
            </w:r>
          </w:p>
        </w:tc>
        <w:tc>
          <w:tcPr>
            <w:tcW w:type="dxa" w:w="2484"/>
          </w:tcPr>
          <w:p>
            <w:r>
              <w:t>0.902</w:t>
            </w:r>
          </w:p>
        </w:tc>
      </w:tr>
      <w:tr>
        <w:tc>
          <w:tcPr>
            <w:tcW w:type="dxa" w:w="2484"/>
          </w:tcPr>
          <w:p>
            <w:r>
              <w:t>Macro-F1</w:t>
            </w:r>
          </w:p>
        </w:tc>
        <w:tc>
          <w:tcPr>
            <w:tcW w:type="dxa" w:w="2484"/>
          </w:tcPr>
          <w:p>
            <w:r>
              <w:t>0.584</w:t>
            </w:r>
          </w:p>
        </w:tc>
        <w:tc>
          <w:tcPr>
            <w:tcW w:type="dxa" w:w="2484"/>
          </w:tcPr>
          <w:p>
            <w:r>
              <w:t>0.761</w:t>
            </w:r>
          </w:p>
        </w:tc>
        <w:tc>
          <w:tcPr>
            <w:tcW w:type="dxa" w:w="2484"/>
          </w:tcPr>
          <w:p>
            <w:r>
              <w:t>0.895</w:t>
            </w:r>
          </w:p>
        </w:tc>
      </w:tr>
      <w:tr>
        <w:tc>
          <w:tcPr>
            <w:tcW w:type="dxa" w:w="2484"/>
          </w:tcPr>
          <w:p>
            <w:r>
              <w:t>Weighted-F1</w:t>
            </w:r>
          </w:p>
        </w:tc>
        <w:tc>
          <w:tcPr>
            <w:tcW w:type="dxa" w:w="2484"/>
          </w:tcPr>
          <w:p>
            <w:r>
              <w:t>0.608</w:t>
            </w:r>
          </w:p>
        </w:tc>
        <w:tc>
          <w:tcPr>
            <w:tcW w:type="dxa" w:w="2484"/>
          </w:tcPr>
          <w:p>
            <w:r>
              <w:t>0.779</w:t>
            </w:r>
          </w:p>
        </w:tc>
        <w:tc>
          <w:tcPr>
            <w:tcW w:type="dxa" w:w="2484"/>
          </w:tcPr>
          <w:p>
            <w:r>
              <w:t>0.904</w:t>
            </w:r>
          </w:p>
        </w:tc>
      </w:tr>
      <w:tr>
        <w:tc>
          <w:tcPr>
            <w:tcW w:type="dxa" w:w="2484"/>
          </w:tcPr>
          <w:p>
            <w:r>
              <w:t>Precision (Pos)</w:t>
            </w:r>
          </w:p>
        </w:tc>
        <w:tc>
          <w:tcPr>
            <w:tcW w:type="dxa" w:w="2484"/>
          </w:tcPr>
          <w:p>
            <w:r>
              <w:t>0.640</w:t>
            </w:r>
          </w:p>
        </w:tc>
        <w:tc>
          <w:tcPr>
            <w:tcW w:type="dxa" w:w="2484"/>
          </w:tcPr>
          <w:p>
            <w:r>
              <w:t>0.792</w:t>
            </w:r>
          </w:p>
        </w:tc>
        <w:tc>
          <w:tcPr>
            <w:tcW w:type="dxa" w:w="2484"/>
          </w:tcPr>
          <w:p>
            <w:r>
              <w:t>0.892</w:t>
            </w:r>
          </w:p>
        </w:tc>
      </w:tr>
      <w:tr>
        <w:tc>
          <w:tcPr>
            <w:tcW w:type="dxa" w:w="2484"/>
          </w:tcPr>
          <w:p>
            <w:r>
              <w:t>Recall (Pos)</w:t>
            </w:r>
          </w:p>
        </w:tc>
        <w:tc>
          <w:tcPr>
            <w:tcW w:type="dxa" w:w="2484"/>
          </w:tcPr>
          <w:p>
            <w:r>
              <w:t>0.610</w:t>
            </w:r>
          </w:p>
        </w:tc>
        <w:tc>
          <w:tcPr>
            <w:tcW w:type="dxa" w:w="2484"/>
          </w:tcPr>
          <w:p>
            <w:r>
              <w:t>0.765</w:t>
            </w:r>
          </w:p>
        </w:tc>
        <w:tc>
          <w:tcPr>
            <w:tcW w:type="dxa" w:w="2484"/>
          </w:tcPr>
          <w:p>
            <w:r>
              <w:t>0.884</w:t>
            </w:r>
          </w:p>
        </w:tc>
      </w:tr>
      <w:tr>
        <w:tc>
          <w:tcPr>
            <w:tcW w:type="dxa" w:w="2484"/>
          </w:tcPr>
          <w:p>
            <w:r>
              <w:t>Precision (Neg)</w:t>
            </w:r>
          </w:p>
        </w:tc>
        <w:tc>
          <w:tcPr>
            <w:tcW w:type="dxa" w:w="2484"/>
          </w:tcPr>
          <w:p>
            <w:r>
              <w:t>0.520</w:t>
            </w:r>
          </w:p>
        </w:tc>
        <w:tc>
          <w:tcPr>
            <w:tcW w:type="dxa" w:w="2484"/>
          </w:tcPr>
          <w:p>
            <w:r>
              <w:t>0.741</w:t>
            </w:r>
          </w:p>
        </w:tc>
        <w:tc>
          <w:tcPr>
            <w:tcW w:type="dxa" w:w="2484"/>
          </w:tcPr>
          <w:p>
            <w:r>
              <w:t>0.915</w:t>
            </w:r>
          </w:p>
        </w:tc>
      </w:tr>
      <w:tr>
        <w:tc>
          <w:tcPr>
            <w:tcW w:type="dxa" w:w="2484"/>
          </w:tcPr>
          <w:p>
            <w:r>
              <w:t>Recall (Neg)</w:t>
            </w:r>
          </w:p>
        </w:tc>
        <w:tc>
          <w:tcPr>
            <w:tcW w:type="dxa" w:w="2484"/>
          </w:tcPr>
          <w:p>
            <w:r>
              <w:t>0.590</w:t>
            </w:r>
          </w:p>
        </w:tc>
        <w:tc>
          <w:tcPr>
            <w:tcW w:type="dxa" w:w="2484"/>
          </w:tcPr>
          <w:p>
            <w:r>
              <w:t>0.730</w:t>
            </w:r>
          </w:p>
        </w:tc>
        <w:tc>
          <w:tcPr>
            <w:tcW w:type="dxa" w:w="2484"/>
          </w:tcPr>
          <w:p>
            <w:r>
              <w:t>0.872</w:t>
            </w:r>
          </w:p>
        </w:tc>
      </w:tr>
    </w:tbl>
    <w:p>
      <w:r>
        <w:br/>
        <w:t>Прирост к бейзлайну: точность классификации выросла с 61.2% до 90.2% (+29.0%) благодаря учету специфических финансовых смысловых конструкций (падение расходов, байбэк, превышение прогнозов).</w:t>
      </w:r>
    </w:p>
    <w:p>
      <w:pPr>
        <w:pStyle w:val="Heading1"/>
      </w:pPr>
      <w:r>
        <w:t>8. Разделы RL / Video-CV (Обоснование N/A)</w:t>
      </w:r>
    </w:p>
    <w:p>
      <w:r>
        <w:t>• RL (Reinforcement Learning): Не применимо к задаче текстового анализа тональности.</w:t>
        <w:br/>
        <w:t>• Video / CV: Не применимо, проект сфокусирован на обработке текстов естественного языка (NLP).</w:t>
      </w:r>
    </w:p>
    <w:p>
      <w:pPr>
        <w:pStyle w:val="Heading1"/>
      </w:pPr>
      <w:r>
        <w:t>9. Надежность и Docker-развертывание</w:t>
      </w:r>
    </w:p>
    <w:p>
      <w:r>
        <w:t>• Автономный fallback: независимость от внешних сетевых сервисов благодаря локальным репозиториям и адаптерам.</w:t>
        <w:br/>
        <w:t>• Dockerfile и docker-compose.yml для оркестрации API, Kafka, Zookeeper, ClickHouse и Elasticsearch в сети sentiment-net.</w:t>
      </w:r>
    </w:p>
    <w:p>
      <w:pPr>
        <w:pStyle w:val="Heading1"/>
      </w:pPr>
      <w:r>
        <w:t>10. Тестирование и демонстрация</w:t>
      </w:r>
    </w:p>
    <w:p>
      <w:r>
        <w:t>Успешно выполнен сьют автоматических тестов (pytest): 5 из 5 тестов пройдены успешно (100%).</w:t>
        <w:br/>
        <w:t>Результаты демонстрационного сценария (nlp/demo_streaming.py):</w:t>
        <w:br/>
        <w:t>• Обработан поток из 6 ключевых новостей ведущих эмитентов (Сбер, Газпром, Яндекс, Лукойл, Т-Банк, Nvidia);</w:t>
        <w:br/>
        <w:t>• Сформирована тепловая карта рынка: SBER (+0.500 BULLISH), GAZP (-0.800 BEARISH), YDEX (+0.650 BULLISH), LKOH (+0.750 BULLISH);</w:t>
        <w:br/>
        <w:t>• Наблюдатель RiskAlertObserver зафиксировал критический негатив по GAZP и выпустил торговый алерт.</w:t>
      </w:r>
    </w:p>
    <w:p>
      <w:pPr>
        <w:pStyle w:val="Heading1"/>
      </w:pPr>
      <w:r>
        <w:t>11. Выводы</w:t>
      </w:r>
    </w:p>
    <w:p>
      <w:r>
        <w:t>1. Создан высокопроизводительный сервис потокового анализа тональности финансовых новостей (~3 мс на публикацию).</w:t>
        <w:br/>
        <w:t>2. Реализована модель FinBERT с точностью 90.2% (Macro-F1 = 0.895).</w:t>
        <w:br/>
        <w:t>3. Внедрены 5 обязательных паттернов: Pipeline, Strategy, Adapter, Observer, Repository.</w:t>
        <w:br/>
        <w:t>4. Подготовлена вся документация и конфигурации развертывания.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