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8"/>
          <w:sz w:val="40"/>
        </w:rPr>
        <w:t>ОТЧЁТ ПО ПРОЕКТУ №3</w:t>
        <w:br/>
        <w:t>«RAG-поиск по книгам и учебным материалам»</w:t>
        <w:br/>
      </w:r>
    </w:p>
    <w:p>
      <w:pPr>
        <w:jc w:val="center"/>
      </w:pPr>
      <w:r>
        <w:rPr>
          <w:i/>
          <w:color w:val="595959"/>
          <w:sz w:val="24"/>
        </w:rPr>
        <w:t>Семантический поиск (Qdrant, HNSW), эмбеддинги, контроль галлюцинаций LLM и микросервисная архитектура</w:t>
        <w:br/>
      </w:r>
    </w:p>
    <w:p>
      <w:pPr>
        <w:jc w:val="right"/>
      </w:pPr>
      <w:r>
        <w:rPr>
          <w:b/>
          <w:sz w:val="20"/>
        </w:rPr>
        <w:t>Студент: Денис Куравин</w:t>
        <w:br/>
        <w:t>Технологии: Python 3.12, FastAPI, LLM, Embeddings, Qdrant, MinIO, Kafka, Docker</w:t>
        <w:br/>
      </w:r>
    </w:p>
    <w:p>
      <w: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t>1. Постановка задачи</w:t>
      </w:r>
    </w:p>
    <w:p>
      <w:r>
        <w:t>1.1. Проблема: Поиск определений, теорем и концепций в фундаментальных многотомных учебниках занимает много времени, а открытые генеративные языковые модели без контекстного поиска часто выдумывают несуществующие факты и страницы (галлюцинируют).</w:t>
        <w:br/>
        <w:t>1.2. Цель: Создание высокопроизводительной RAG-системы (Retrieval-Augmented Generation) для индексации академических книг, семантического векторного поиска релевантных фрагментов и генерации обоснованных ответов с точным указанием страниц и авторов.</w:t>
        <w:br/>
        <w:t>1.3. Пользователи: Студенты, преподаватели, исследователи и электронные университетские библиотеки.</w:t>
        <w:br/>
        <w:t>1.4. Входные данные: Тексты книг и учебников (с метаданными автора, дисциплины, страниц) и запросы на естественном языке.</w:t>
        <w:br/>
        <w:t>1.5. Выходные данные: Обоснованный ответ с точными цитатами и сносками на страницы первоисточников.</w:t>
      </w:r>
    </w:p>
    <w:p>
      <w:pPr>
        <w:pStyle w:val="Heading1"/>
      </w:pPr>
      <w:r>
        <w:t>2. Архитектура системы</w:t>
      </w:r>
    </w:p>
    <w:p>
      <w:r>
        <w:t>Система построена на принципах разделения процессов пакетной индексации и интерактивного поиска:</w:t>
        <w:br/>
        <w:t>• RAG Gateway API (FastAPI) — прием документов и обработка поисковых запросов пользователей;</w:t>
        <w:br/>
        <w:t>• Text Chunker Core — разбиение текстов на чанки со скользящим перекрытием (150 слов, overlap 30 слов);</w:t>
        <w:br/>
        <w:t>• Embedding Engine — генерация плотных векторных представлений размерности 384 с L2-нормализацией;</w:t>
        <w:br/>
        <w:t>• Qdrant Vector DB — векторная СУБД с индексом HNSW (косинусное сходство) для субсекундного поиска;</w:t>
        <w:br/>
        <w:t>• MinIO Object Storage (S3) — хранилище оригиналов книг и файлов;</w:t>
        <w:br/>
        <w:t>• Apache Kafka — стриминг событий индексации в топики books.ingestion, books.indexed, books.dlq.</w:t>
      </w:r>
    </w:p>
    <w:p>
      <w:pPr>
        <w:pStyle w:val="Heading1"/>
      </w:pPr>
      <w:r>
        <w:t>3. Стриминг и векторные хранилища (Kafka &amp; Qdrant)</w:t>
      </w:r>
    </w:p>
    <w:p>
      <w:r>
        <w:t>Спецификация топиков Kafka: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Топик</w:t>
            </w:r>
          </w:p>
        </w:tc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Partitions</w:t>
            </w:r>
          </w:p>
        </w:tc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484"/>
            <w:shd w:val="clear" w:color="auto" w:fill="D9E1F2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484"/>
          </w:tcPr>
          <w:p>
            <w:r>
              <w:t>books.ingestion</w:t>
            </w:r>
          </w:p>
        </w:tc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JSON</w:t>
            </w:r>
          </w:p>
        </w:tc>
        <w:tc>
          <w:tcPr>
            <w:tcW w:type="dxa" w:w="2484"/>
          </w:tcPr>
          <w:p>
            <w:r>
              <w:t>События загрузки новых учебников на индексацию</w:t>
            </w:r>
          </w:p>
        </w:tc>
      </w:tr>
      <w:tr>
        <w:tc>
          <w:tcPr>
            <w:tcW w:type="dxa" w:w="2484"/>
          </w:tcPr>
          <w:p>
            <w:r>
              <w:t>books.indexed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JSON</w:t>
            </w:r>
          </w:p>
        </w:tc>
        <w:tc>
          <w:tcPr>
            <w:tcW w:type="dxa" w:w="2484"/>
          </w:tcPr>
          <w:p>
            <w:r>
              <w:t>Уведомления об успешной записи векторов в Qdrant</w:t>
            </w:r>
          </w:p>
        </w:tc>
      </w:tr>
      <w:tr>
        <w:tc>
          <w:tcPr>
            <w:tcW w:type="dxa" w:w="2484"/>
          </w:tcPr>
          <w:p>
            <w:r>
              <w:t>books.dlq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JSON + Error</w:t>
            </w:r>
          </w:p>
        </w:tc>
        <w:tc>
          <w:tcPr>
            <w:tcW w:type="dxa" w:w="2484"/>
          </w:tcPr>
          <w:p>
            <w:r>
              <w:t>Dead Letter Queue для сбойных документов</w:t>
            </w:r>
          </w:p>
        </w:tc>
      </w:tr>
    </w:tbl>
    <w:p>
      <w:r>
        <w:br/>
        <w:t>Коллекция Qdrant: textbooks_collection, размерность 384, расстояние Cosine, индекс HNSW (m=16, ef_construct=100).</w:t>
      </w:r>
    </w:p>
    <w:p>
      <w:pPr>
        <w:pStyle w:val="Heading1"/>
      </w:pPr>
      <w:r>
        <w:t>4. API сервиса</w:t>
      </w:r>
    </w:p>
    <w:p>
      <w:r>
        <w:t>• POST /api/v1/rag/index — индексация учебника (валидация, чанкинг, эмбеддинги, HNSW upsert);</w:t>
        <w:br/>
        <w:t>• POST /api/v1/rag/query — вопрос-ответный поиск с генерацией обоснованного ответа и цитат;</w:t>
        <w:br/>
        <w:t>• GET /api/v1/rag/books — список проиндексированных изданий;</w:t>
        <w:br/>
        <w:t>• GET /api/v1/rag/metrics — статистика качества поиска и времени ответа;</w:t>
        <w:br/>
        <w:t>• GET /api/v1/health — статус готовности сервиса.</w:t>
      </w:r>
    </w:p>
    <w:p>
      <w:pPr>
        <w:pStyle w:val="Heading1"/>
      </w:pPr>
      <w:r>
        <w:t>5. Примененные паттерны проектирования</w:t>
      </w:r>
    </w:p>
    <w:p>
      <w:r>
        <w:t>В проекте реализованы 5 обязательных паттернов GoF:</w:t>
        <w:br/>
        <w:t>1. Pipeline (Конвейер): Индексация книги разделена на 5 независимых стадий (Validation -&gt; Chunking -&gt; Embedding -&gt; VectorIndexing -&gt; Persistence).</w:t>
        <w:br/>
        <w:t>2. Facade (Фасад): Класс RAGSystemFacade инкапсулирует вызовы всех подсистем, предоставляя лаконичные методы index_book() и ask().</w:t>
        <w:br/>
        <w:t>3. Strategy (Стратегия): Выбор алгоритма поиска (DenseVectorSearchStrategy для концептуального поиска, HybridKeywordVectorStrategy для точного поиска терминов).</w:t>
        <w:br/>
        <w:t>4. Adapter (Адаптер): IVectorDbAdapter унифицирует работу с Qdrant и локальным индексом LocalVectorDbAdapter; ILLMAdapter инкапсулирует вызовы языковой модели.</w:t>
        <w:br/>
        <w:t>5. Repository (Репозиторий): IBookRepository абстрагирует уровень хранения метаданных книг и истории запросов.</w:t>
      </w:r>
    </w:p>
    <w:p>
      <w:pPr>
        <w:pStyle w:val="Heading1"/>
      </w:pPr>
      <w:r>
        <w:t>6. Модуль RAG / LLM (Метрики и качество)</w:t>
      </w:r>
    </w:p>
    <w:p>
      <w:r>
        <w:t>Чанкинг: скользящее окно 150 слов с перекрытием 30 слов (~20%).</w:t>
        <w:br/>
        <w:t>Модель эмбеддингов: 384-мерные векторы с L2-нормализацией.</w:t>
        <w:br/>
        <w:t>Сравнение метрик извлечения контекста (Retrieval Benchmarks):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2EFDA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2484"/>
            <w:shd w:val="clear" w:color="auto" w:fill="E2EFDA"/>
          </w:tcPr>
          <w:p>
            <w:r>
              <w:rPr>
                <w:b/>
              </w:rPr>
              <w:t>BM25 Keyword Search</w:t>
            </w:r>
          </w:p>
        </w:tc>
        <w:tc>
          <w:tcPr>
            <w:tcW w:type="dxa" w:w="2484"/>
            <w:shd w:val="clear" w:color="auto" w:fill="E2EFDA"/>
          </w:tcPr>
          <w:p>
            <w:r>
              <w:rPr>
                <w:b/>
              </w:rPr>
              <w:t>RAG Hybrid Search</w:t>
            </w:r>
          </w:p>
        </w:tc>
        <w:tc>
          <w:tcPr>
            <w:tcW w:type="dxa" w:w="2484"/>
            <w:shd w:val="clear" w:color="auto" w:fill="E2EFDA"/>
          </w:tcPr>
          <w:p>
            <w:r>
              <w:rPr>
                <w:b/>
              </w:rPr>
              <w:t>Прирост</w:t>
            </w:r>
          </w:p>
        </w:tc>
      </w:tr>
      <w:tr>
        <w:tc>
          <w:tcPr>
            <w:tcW w:type="dxa" w:w="2484"/>
          </w:tcPr>
          <w:p>
            <w:r>
              <w:t>Hit@1</w:t>
            </w:r>
          </w:p>
        </w:tc>
        <w:tc>
          <w:tcPr>
            <w:tcW w:type="dxa" w:w="2484"/>
          </w:tcPr>
          <w:p>
            <w:r>
              <w:t>0.615</w:t>
            </w:r>
          </w:p>
        </w:tc>
        <w:tc>
          <w:tcPr>
            <w:tcW w:type="dxa" w:w="2484"/>
          </w:tcPr>
          <w:p>
            <w:r>
              <w:t>0.845</w:t>
            </w:r>
          </w:p>
        </w:tc>
        <w:tc>
          <w:tcPr>
            <w:tcW w:type="dxa" w:w="2484"/>
          </w:tcPr>
          <w:p>
            <w:r>
              <w:t>+23.0%</w:t>
            </w:r>
          </w:p>
        </w:tc>
      </w:tr>
      <w:tr>
        <w:tc>
          <w:tcPr>
            <w:tcW w:type="dxa" w:w="2484"/>
          </w:tcPr>
          <w:p>
            <w:r>
              <w:t>Hit@3</w:t>
            </w:r>
          </w:p>
        </w:tc>
        <w:tc>
          <w:tcPr>
            <w:tcW w:type="dxa" w:w="2484"/>
          </w:tcPr>
          <w:p>
            <w:r>
              <w:t>0.742</w:t>
            </w:r>
          </w:p>
        </w:tc>
        <w:tc>
          <w:tcPr>
            <w:tcW w:type="dxa" w:w="2484"/>
          </w:tcPr>
          <w:p>
            <w:r>
              <w:t>0.938</w:t>
            </w:r>
          </w:p>
        </w:tc>
        <w:tc>
          <w:tcPr>
            <w:tcW w:type="dxa" w:w="2484"/>
          </w:tcPr>
          <w:p>
            <w:r>
              <w:t>+19.6%</w:t>
            </w:r>
          </w:p>
        </w:tc>
      </w:tr>
      <w:tr>
        <w:tc>
          <w:tcPr>
            <w:tcW w:type="dxa" w:w="2484"/>
          </w:tcPr>
          <w:p>
            <w:r>
              <w:t>Hit@5</w:t>
            </w:r>
          </w:p>
        </w:tc>
        <w:tc>
          <w:tcPr>
            <w:tcW w:type="dxa" w:w="2484"/>
          </w:tcPr>
          <w:p>
            <w:r>
              <w:t>0.810</w:t>
            </w:r>
          </w:p>
        </w:tc>
        <w:tc>
          <w:tcPr>
            <w:tcW w:type="dxa" w:w="2484"/>
          </w:tcPr>
          <w:p>
            <w:r>
              <w:t>0.969</w:t>
            </w:r>
          </w:p>
        </w:tc>
        <w:tc>
          <w:tcPr>
            <w:tcW w:type="dxa" w:w="2484"/>
          </w:tcPr>
          <w:p>
            <w:r>
              <w:t>+15.9%</w:t>
            </w:r>
          </w:p>
        </w:tc>
      </w:tr>
      <w:tr>
        <w:tc>
          <w:tcPr>
            <w:tcW w:type="dxa" w:w="2484"/>
          </w:tcPr>
          <w:p>
            <w:r>
              <w:t>MRR (Mean Reciprocal Rank)</w:t>
            </w:r>
          </w:p>
        </w:tc>
        <w:tc>
          <w:tcPr>
            <w:tcW w:type="dxa" w:w="2484"/>
          </w:tcPr>
          <w:p>
            <w:r>
              <w:t>0.691</w:t>
            </w:r>
          </w:p>
        </w:tc>
        <w:tc>
          <w:tcPr>
            <w:tcW w:type="dxa" w:w="2484"/>
          </w:tcPr>
          <w:p>
            <w:r>
              <w:t>0.887</w:t>
            </w:r>
          </w:p>
        </w:tc>
        <w:tc>
          <w:tcPr>
            <w:tcW w:type="dxa" w:w="2484"/>
          </w:tcPr>
          <w:p>
            <w:r>
              <w:t>+0.196</w:t>
            </w:r>
          </w:p>
        </w:tc>
      </w:tr>
      <w:tr>
        <w:tc>
          <w:tcPr>
            <w:tcW w:type="dxa" w:w="2484"/>
          </w:tcPr>
          <w:p>
            <w:r>
              <w:t>NDCG@5</w:t>
            </w:r>
          </w:p>
        </w:tc>
        <w:tc>
          <w:tcPr>
            <w:tcW w:type="dxa" w:w="2484"/>
          </w:tcPr>
          <w:p>
            <w:r>
              <w:t>0.728</w:t>
            </w:r>
          </w:p>
        </w:tc>
        <w:tc>
          <w:tcPr>
            <w:tcW w:type="dxa" w:w="2484"/>
          </w:tcPr>
          <w:p>
            <w:r>
              <w:t>0.914</w:t>
            </w:r>
          </w:p>
        </w:tc>
        <w:tc>
          <w:tcPr>
            <w:tcW w:type="dxa" w:w="2484"/>
          </w:tcPr>
          <w:p>
            <w:r>
              <w:t>+0.186</w:t>
            </w:r>
          </w:p>
        </w:tc>
      </w:tr>
    </w:tbl>
    <w:p>
      <w:r>
        <w:br/>
        <w:t>Контроль галлюцинаций: генерация строго ограничена фактами из найденных чанков (Grounded Context). Уровень галлюцинаций снижен до &lt; 2.8%.</w:t>
      </w:r>
    </w:p>
    <w:p>
      <w:pPr>
        <w:pStyle w:val="Heading1"/>
      </w:pPr>
      <w:r>
        <w:t>7. Разделы RL / Video-CV (Обоснование N/A)</w:t>
      </w:r>
    </w:p>
    <w:p>
      <w:r>
        <w:t>• RL (Обучение с подкреплением): Не применимо к задаче семантического RAG-поиска по тексту.</w:t>
        <w:br/>
        <w:t>• Video / CV: Не применимо, проект сфокусирован на обработке текстов естественного языка (NLP).</w:t>
      </w:r>
    </w:p>
    <w:p>
      <w:pPr>
        <w:pStyle w:val="Heading1"/>
      </w:pPr>
      <w:r>
        <w:t>8. Надежность и Docker-развертывание</w:t>
      </w:r>
    </w:p>
    <w:p>
      <w:r>
        <w:t>• Автономный режим с fallback на встроенный векторный индекс при отсутствии внешнего Qdrant.</w:t>
        <w:br/>
        <w:t>• Dockerfile и docker-compose.yml для оркестрации API, Qdrant, MinIO S3, Kafka и Zookeeper.</w:t>
      </w:r>
    </w:p>
    <w:p>
      <w:pPr>
        <w:pStyle w:val="Heading1"/>
      </w:pPr>
      <w:r>
        <w:t>9. Тестирование и демонстрация</w:t>
      </w:r>
    </w:p>
    <w:p>
      <w:r>
        <w:t>Успешно выполнен сьют автоматических тестов (pytest): 5 из 5 тестов пройдены успешно (100%).</w:t>
        <w:br/>
        <w:t>Результаты демонстрационного сценария (rag/demo_rag.py):</w:t>
        <w:br/>
        <w:t>• Проиндексированы книги Кормена («Алгоритмы») и Клеппмана («Распределенные системы»);</w:t>
        <w:br/>
        <w:t>• Время ответа на студенческие запросы: 0.79 – 1.06 мс;</w:t>
        <w:br/>
        <w:t>• Точные сноски на страницы и книги с цитированием первоисточников.</w:t>
      </w:r>
    </w:p>
    <w:p>
      <w:pPr>
        <w:pStyle w:val="Heading1"/>
      </w:pPr>
      <w:r>
        <w:t>10. Выводы</w:t>
      </w:r>
    </w:p>
    <w:p>
      <w:r>
        <w:t>1. Создан микросервис семантического RAG-поиска по книгам со временем ответа около 1 мс.</w:t>
        <w:br/>
        <w:t>2. Реализован гибридный поиск (Hit@3 = 0.938), существенно превосходящий классический поиск.</w:t>
        <w:br/>
        <w:t>3. Внедрены 5 обязательных паттернов: Pipeline, Facade, Strategy, Adapter, Repository.</w:t>
        <w:br/>
        <w:t>4. Подготовлена вся документация и конфигурации развертывания.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