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7AB79"/>
    <w:p w14:paraId="507F7B09"/>
    <w:p w14:paraId="26CB8ED6"/>
    <w:p w14:paraId="23CFE59B"/>
    <w:p w14:paraId="1C766D26"/>
    <w:p w14:paraId="139850AA"/>
    <w:p w14:paraId="344B4399">
      <w:pPr>
        <w:pStyle w:val="168"/>
        <w:rPr>
          <w:rFonts w:hint="eastAsia" w:eastAsia="隶书"/>
          <w:lang w:eastAsia="zh-CN"/>
        </w:rPr>
      </w:pPr>
      <w:r>
        <w:t>中国民航大学双一流建设完成度实时报告</w:t>
      </w:r>
      <w:r>
        <w:rPr>
          <w:rFonts w:hint="eastAsia"/>
          <w:lang w:val="en-US" w:eastAsia="zh-CN"/>
        </w:rPr>
        <w:t>小程序</w:t>
      </w:r>
    </w:p>
    <w:p w14:paraId="268CBDAD"/>
    <w:p w14:paraId="62409A51">
      <w:pPr>
        <w:jc w:val="center"/>
        <w:rPr>
          <w:rFonts w:hint="eastAsia" w:ascii="Times New Roman" w:hAnsi="Times New Roman" w:eastAsia="黑体" w:cstheme="minorBidi"/>
          <w:bCs/>
          <w:kern w:val="2"/>
          <w:sz w:val="48"/>
          <w:szCs w:val="21"/>
          <w:lang w:val="en-US" w:eastAsia="zh-CN" w:bidi="ar-SA"/>
        </w:rPr>
      </w:pPr>
      <w:r>
        <w:rPr>
          <w:rFonts w:hint="eastAsia" w:ascii="Times New Roman" w:hAnsi="Times New Roman" w:eastAsia="黑体" w:cstheme="minorBidi"/>
          <w:bCs/>
          <w:kern w:val="2"/>
          <w:sz w:val="48"/>
          <w:szCs w:val="21"/>
          <w:lang w:val="en-US" w:eastAsia="zh-CN" w:bidi="ar-SA"/>
        </w:rPr>
        <w:t>系统设计文档</w:t>
      </w:r>
    </w:p>
    <w:p w14:paraId="72E8D874"/>
    <w:p w14:paraId="51A32F8A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0111"/>
        <w15:color w:val="DBDBDB"/>
        <w:docPartObj>
          <w:docPartGallery w:val="Table of Contents"/>
          <w:docPartUnique/>
        </w:docPartObj>
      </w:sdtPr>
      <w:sdtContent>
        <w:p w14:paraId="02B81DD0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480" w:beforeLines="0" w:after="36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Times New Roman" w:hAnsi="Times New Roman" w:eastAsia="宋体" w:cs="宋体"/>
              <w:b/>
              <w:kern w:val="0"/>
              <w:sz w:val="32"/>
              <w:szCs w:val="32"/>
              <w:lang w:eastAsia="zh-CN"/>
            </w:rPr>
          </w:pPr>
          <w:r>
            <w:rPr>
              <w:rFonts w:hint="eastAsia" w:ascii="Times New Roman" w:hAnsi="Times New Roman" w:eastAsia="宋体" w:cs="宋体"/>
              <w:b/>
              <w:kern w:val="0"/>
              <w:sz w:val="32"/>
              <w:szCs w:val="32"/>
              <w:lang w:eastAsia="zh-CN"/>
            </w:rPr>
            <w:t>目</w:t>
          </w:r>
          <w:r>
            <w:rPr>
              <w:rFonts w:hint="eastAsia" w:ascii="Times New Roman" w:hAnsi="Times New Roman" w:eastAsia="宋体" w:cs="宋体"/>
              <w:b/>
              <w:kern w:val="0"/>
              <w:sz w:val="32"/>
              <w:szCs w:val="32"/>
              <w:lang w:val="en-US" w:eastAsia="zh-CN"/>
            </w:rPr>
            <w:t xml:space="preserve">  </w:t>
          </w:r>
          <w:r>
            <w:rPr>
              <w:rFonts w:hint="eastAsia" w:ascii="Times New Roman" w:hAnsi="Times New Roman" w:eastAsia="宋体" w:cs="宋体"/>
              <w:b/>
              <w:kern w:val="0"/>
              <w:sz w:val="32"/>
              <w:szCs w:val="32"/>
              <w:lang w:eastAsia="zh-CN"/>
            </w:rPr>
            <w:t>录</w:t>
          </w:r>
          <w:bookmarkStart w:id="51" w:name="_GoBack"/>
          <w:bookmarkEnd w:id="51"/>
        </w:p>
        <w:p w14:paraId="38FB5A3A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TOC \o "1-2" \h \u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_Toc24334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第一章  项目概述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_Toc24334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3635564D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_Toc18885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1.1 项目背景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_Toc18885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7587184D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_Toc24909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1.2 设计目标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_Toc24909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A2A7C45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_Toc11353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1.3 技术选型依据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_Toc11353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1204F4A6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_Toc3127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第二章  系统总体架构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_Toc3127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7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F98A4C8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_Toc1991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2.1 三层架构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_Toc1991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7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1C55940C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_Toc26888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2.2 模块清单与职责边界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_Toc26888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8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3D09E495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_Toc6439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第三章  数据库设计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_Toc6439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10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1233FAAC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_Toc24091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3.1 设计目标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_Toc24091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10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3DF723AD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_Toc23674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3.2 实体关系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_Toc23674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10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136E0B65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_Toc21018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3.3 表一：IndicatorCategory（指标大类）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_Toc21018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10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4F3FED0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_Toc21937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3.4 表二：IndicatorMaster（指标定义主表）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_Toc21937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10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6B0D792B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_Toc14714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3.5 表三：CAUCData（中航大实际数据）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_Toc14714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11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E00E3E6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_Toc11943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3.6 表四：DataSnapshot（历史快照）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_Toc11943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12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B802585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_Toc26871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3.7 表五：CompletionSummary（完成度汇总）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_Toc26871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13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47BF9A7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_Toc14897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第四章  API接口设计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_Toc14897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14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49E0C4CF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_Toc7415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4.1 接口总览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_Toc7415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14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6FC8B54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_Toc11380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4.2 返回数据格式规范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_Toc11380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14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2399D61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_Toc25851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4.3 核心完成度计算逻辑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_Toc25851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14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1D2D220B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_Toc6943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4.4 错误处理设计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_Toc6943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98C7E90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_Toc23421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4.5 手动更新接口详细说明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_Toc23421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7292ECE2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_Toc11320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第五章  前端设计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_Toc11320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16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4C06D629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_Toc5620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5.1 页面导航结构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_Toc5620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16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C08CC41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_Toc20644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5.2 首页详细设计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_Toc20644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16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1AF2AB20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_Toc21979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5.3 分类详情页详细设计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_Toc21979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17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3A894B5E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_Toc3982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5.4 对标对比页详细设计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_Toc3982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17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44E55F97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_Toc2785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5.5 单项详情页详细设计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_Toc2785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17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FB34820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_Toc21075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5.6 组件接口定义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_Toc21075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18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3A75A5E6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_Toc30641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第六章  爬虫与数据采集设计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_Toc30641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19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25FD7FC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_Toc23721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6.1 设计原则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_Toc23721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19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2FAF0033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_Toc5625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6.2 优先抓取页面清单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_Toc5625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19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75C127E2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_Toc15124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6.3 爬虫技术实现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_Toc15124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19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7AFC43E4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_Toc31632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6.4 人工采集补充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_Toc31632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20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6A126E7E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_Toc487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第七章  定时调度与数据更新设计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_Toc487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21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3ED68A6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_Toc20975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7.1 APScheduler配置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_Toc20975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21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5084A99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_Toc18784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7.2 快照生成流程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_Toc18784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21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22B8537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_Toc14941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7.3 更新频率建议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_Toc14941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21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4BE87B65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_Toc30632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第八章  数据流水线设计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_Toc30632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23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63AA51F5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_Toc3189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8.1 初始化流水线（setup_data.py）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_Toc3189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23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3C6B3E7A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_Toc12212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8.2 Python数据脚本设计（seed_*.py）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_Toc12212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23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39BFD56C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_Toc2550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8.3 日常更新场景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_Toc2550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23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1199C44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_Toc13408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第九章  关键设计决策与理由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_Toc13408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434D95FE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_Toc14847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9.1 分层对标vs.全校均值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_Toc14847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15E9389F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_Toc18751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9.2 无前端硬编码数据vs.离线降级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_Toc18751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113E1D4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_Toc28440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9.3 Canvas原生绘制vs.ECharts组件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_Toc28440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662C0340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_Toc9963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9.4 CAUCData追加写入vs.覆盖更新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_Toc9963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9B48EAD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_Toc22217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9.5 SQL Server vs. MySQL/PostgreSQL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_Toc22217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25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A8DAC74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_Toc1758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val="en-US" w:eastAsia="zh-CN"/>
            </w:rPr>
            <w:t>第十章  部署与运行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_Toc1758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27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514FB9B6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_Toc9857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10.1 开发环境部署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_Toc9857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27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0DBF52BB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_Toc11041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10.2 生产环境建议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_Toc11041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27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64837F85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HYPERLINK \l _Toc22811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10.3 依赖清单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ab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instrText xml:space="preserve"> PAGEREF _Toc22811 \h </w:instrTex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t>28</w:t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  <w:p w14:paraId="2C82B79C">
          <w:pPr>
            <w:pStyle w:val="28"/>
            <w:widowControl w:val="0"/>
            <w:tabs>
              <w:tab w:val="right" w:leader="dot" w:pos="8306"/>
            </w:tabs>
            <w:snapToGrid/>
            <w:spacing w:after="0" w:line="360" w:lineRule="auto"/>
            <w:ind w:firstLine="480" w:firstLineChars="200"/>
            <w:jc w:val="both"/>
          </w:pPr>
          <w:r>
            <w:rPr>
              <w:rFonts w:hint="default" w:ascii="Times New Roman" w:hAnsi="Times New Roman" w:eastAsia="宋体" w:cs="Times New Roman"/>
              <w:kern w:val="2"/>
              <w:sz w:val="24"/>
              <w:szCs w:val="28"/>
              <w:lang w:eastAsia="zh-CN"/>
            </w:rPr>
            <w:fldChar w:fldCharType="end"/>
          </w:r>
        </w:p>
      </w:sdtContent>
    </w:sdt>
    <w:p w14:paraId="03F59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74A0B91">
      <w:pPr>
        <w:pStyle w:val="3"/>
        <w:bidi w:val="0"/>
        <w:rPr>
          <w:rFonts w:hint="eastAsia"/>
          <w:lang w:val="en-US" w:eastAsia="zh-CN"/>
        </w:rPr>
      </w:pPr>
      <w:bookmarkStart w:id="0" w:name="_Toc24334"/>
      <w:r>
        <w:rPr>
          <w:rFonts w:hint="eastAsia"/>
          <w:lang w:val="en-US" w:eastAsia="zh-CN"/>
        </w:rPr>
        <w:t>第一章  项目概述</w:t>
      </w:r>
      <w:bookmarkEnd w:id="0"/>
    </w:p>
    <w:p w14:paraId="64EBA496">
      <w:pPr>
        <w:pStyle w:val="5"/>
        <w:bidi w:val="0"/>
        <w:rPr>
          <w:rFonts w:hint="eastAsia"/>
        </w:rPr>
      </w:pPr>
      <w:bookmarkStart w:id="1" w:name="_Toc18885"/>
      <w:r>
        <w:rPr>
          <w:rFonts w:hint="eastAsia"/>
        </w:rPr>
        <w:t>1.1 项目背景</w:t>
      </w:r>
      <w:bookmarkEnd w:id="1"/>
    </w:p>
    <w:p w14:paraId="7C58B340">
      <w:pPr>
        <w:pStyle w:val="169"/>
        <w:widowControl w:val="0"/>
        <w:spacing w:after="0" w:line="400" w:lineRule="exact"/>
        <w:ind w:firstLine="480"/>
        <w:jc w:val="both"/>
        <w:rPr>
          <w:rFonts w:hint="eastAsia" w:cs="宋体"/>
          <w:kern w:val="2"/>
          <w:szCs w:val="21"/>
          <w:lang w:eastAsia="zh-CN"/>
          <w14:ligatures w14:val="standardContextual"/>
        </w:rPr>
      </w:pPr>
      <w:r>
        <w:rPr>
          <w:rFonts w:hint="eastAsia" w:cs="宋体"/>
          <w:kern w:val="2"/>
          <w:szCs w:val="21"/>
          <w:lang w:eastAsia="zh-CN"/>
          <w14:ligatures w14:val="standardContextual"/>
        </w:rPr>
        <w:t>教育部、财政部、国家发展改革委联合推进的"双一流"建设是高等教育领域的重大国家战略。2022年2月，三部委公布第二轮"双一流"建设高校及建设学科名单，共147所高校入选。中国民航大学作为行业特色型高校，其"安全科学与工程"学科入选第二轮建设名单。</w:t>
      </w:r>
    </w:p>
    <w:p w14:paraId="4E265798">
      <w:pPr>
        <w:pStyle w:val="169"/>
        <w:widowControl w:val="0"/>
        <w:spacing w:after="0" w:line="400" w:lineRule="exact"/>
        <w:ind w:firstLine="480"/>
        <w:jc w:val="both"/>
        <w:rPr>
          <w:rFonts w:hint="eastAsia" w:cs="宋体"/>
          <w:kern w:val="2"/>
          <w:szCs w:val="21"/>
          <w:lang w:eastAsia="zh-CN"/>
          <w14:ligatures w14:val="standardContextual"/>
        </w:rPr>
      </w:pPr>
      <w:r>
        <w:rPr>
          <w:rFonts w:hint="eastAsia" w:cs="宋体"/>
          <w:kern w:val="2"/>
          <w:szCs w:val="21"/>
          <w:lang w:eastAsia="zh-CN"/>
          <w14:ligatures w14:val="standardContextual"/>
        </w:rPr>
        <w:t>教育部教研〔2020〕13号《"双一流"建设成效评价办法（试行）》明确要求各建设高校开展自我监测与成效评价。本系统即为响应这一要求而设计——通过信息化手段，将学校公开数据与双一流建设监测指标进行动态比对，以可视化看板形式呈现各项指标的达成度，辅助学校管理层和师生直观了解建设进展。</w:t>
      </w:r>
    </w:p>
    <w:p w14:paraId="66AF0ADD">
      <w:pPr>
        <w:pStyle w:val="5"/>
        <w:bidi w:val="0"/>
        <w:rPr>
          <w:rFonts w:hint="eastAsia"/>
        </w:rPr>
      </w:pPr>
      <w:bookmarkStart w:id="2" w:name="_Toc24909"/>
      <w:r>
        <w:rPr>
          <w:rFonts w:hint="eastAsia"/>
        </w:rPr>
        <w:t>1.2 设计目标</w:t>
      </w:r>
      <w:bookmarkEnd w:id="2"/>
    </w:p>
    <w:p w14:paraId="097206E3">
      <w:pPr>
        <w:pStyle w:val="169"/>
        <w:widowControl w:val="0"/>
        <w:spacing w:after="0" w:line="400" w:lineRule="exact"/>
        <w:ind w:firstLine="480"/>
        <w:jc w:val="both"/>
        <w:rPr>
          <w:rFonts w:hint="eastAsia" w:cs="宋体"/>
          <w:kern w:val="2"/>
          <w:szCs w:val="21"/>
          <w:lang w:eastAsia="zh-CN"/>
          <w14:ligatures w14:val="standardContextual"/>
        </w:rPr>
      </w:pPr>
      <w:r>
        <w:rPr>
          <w:rFonts w:hint="eastAsia" w:cs="宋体"/>
          <w:kern w:val="2"/>
          <w:szCs w:val="21"/>
          <w:lang w:eastAsia="zh-CN"/>
          <w14:ligatures w14:val="standardContextual"/>
        </w:rPr>
        <w:t>本系统的设计围绕以下核心目标展开：</w:t>
      </w:r>
    </w:p>
    <w:p w14:paraId="2BA7207E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构建覆盖五大维度24项具体指标的双一流建设监测指标体系，指标设计依据教育部教研〔2020〕13号文的评价框架</w:t>
      </w:r>
    </w:p>
    <w:p w14:paraId="5F8E3723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建立三层数据结构：中航大实际值（学校公开渠道采集）、建设目标值（基于行业特色型高校B层常模设定）、同类高校常模值（来自公开统计数据与参照校推算）</w:t>
      </w:r>
    </w:p>
    <w:p w14:paraId="0C454E59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采用行业特色型高校分层对标策略，将147所双一流高校分为A/B/C三层，中航大对标B层（行业特色型高校），以南京航空航天大学、南京理工大学、河海大学、中国矿业大学、江南大学五所为锚定参照校</w:t>
      </w:r>
    </w:p>
    <w:p w14:paraId="01E551CB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提供四个层次的可视化视图：综合概览（环形进度条+五大维度卡片）、分类详情（Tab切换+指标卡片列表）、对标对比（Canvas雷达图+24项柱状对比）、单项分析（环形图+差距分析+趋势折线图）</w:t>
      </w:r>
    </w:p>
    <w:p w14:paraId="258B6CA8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实现定时数据更新机制：APScheduler每6小时爬取中航大官网新闻，每月1日自动生成数据快照和完成度汇总</w:t>
      </w:r>
    </w:p>
    <w:p w14:paraId="5A7AEB12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后端与前端完全解耦：数据通过RESTful JSON API交互，前端不包含任何硬编码模拟数据</w:t>
      </w:r>
    </w:p>
    <w:p w14:paraId="710A99AC">
      <w:pPr>
        <w:pStyle w:val="5"/>
        <w:bidi w:val="0"/>
        <w:rPr>
          <w:rFonts w:hint="eastAsia"/>
        </w:rPr>
      </w:pPr>
      <w:bookmarkStart w:id="3" w:name="_Toc11353"/>
      <w:r>
        <w:rPr>
          <w:rFonts w:hint="eastAsia"/>
        </w:rPr>
        <w:t>1.3 技术选型依据</w:t>
      </w:r>
      <w:bookmarkEnd w:id="3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449"/>
      </w:tblGrid>
      <w:tr w14:paraId="2DC75E7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257FB0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技术组件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45DC05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选型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431ABF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版本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4FFD2F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选型理由</w:t>
            </w:r>
          </w:p>
        </w:tc>
      </w:tr>
      <w:tr w14:paraId="3E97A67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8AE526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后端框架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64B30F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Flask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E9C082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2.2+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14DB732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轻量级Web框架，适合中小型API服务场景；路由定义简洁，与SQLAlchemy集成良好；调试模式支持热重载</w:t>
            </w:r>
          </w:p>
        </w:tc>
      </w:tr>
      <w:tr w14:paraId="7644D4E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F0C2F6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ORM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6081614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Flask-SQLAlchemy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2AB091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3.0+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9464F3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将SQL表映射为Python类，免去手写SQL的繁琐；支持session管理、relationship定义和惰性查询</w:t>
            </w:r>
          </w:p>
        </w:tc>
      </w:tr>
      <w:tr w14:paraId="0F6460B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35794C8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数据库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955519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SQL Server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3676BAB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2016+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1C3CFE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与学校信息化基础设施一致；支持Windows集成认证（Trusted_Connection），免去管理数据库账号密码的复杂度</w:t>
            </w:r>
          </w:p>
        </w:tc>
      </w:tr>
      <w:tr w14:paraId="27DC756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3EBB20D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数据库驱动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DE7157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pyodbc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EC20E0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4.0+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AEC536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Python连接SQL Server的官方推荐方案；通过ODBC Driver 17实现高效数据读写</w:t>
            </w:r>
          </w:p>
        </w:tc>
      </w:tr>
      <w:tr w14:paraId="1084344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5178DC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前端框架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6227690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微信小程序原生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35C2C73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基础库2.32+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B3BC95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用户即开即用，无需安装；Canvas API支持自定义图表绘制；wx.request原生支持HTTP请求</w:t>
            </w:r>
          </w:p>
        </w:tc>
      </w:tr>
      <w:tr w14:paraId="7EA9E3D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6F002B7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爬虫库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98626F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requests + BeautifulSoup4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9FFD0C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2.31+/4.12+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7CC004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requests处理HTTP请求与响应，BeautifulSoup4解析HTML DOM树，lxml作为快速解析后端</w:t>
            </w:r>
          </w:p>
        </w:tc>
      </w:tr>
      <w:tr w14:paraId="56EBFD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05189E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定时任务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E5E8D0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APScheduler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FADC64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3.10+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F9AAD8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轻量级Python调度库；支持interval（固定间隔）和cron（日历时间）两种触发方式；BackgroundScheduler不阻塞主线程</w:t>
            </w:r>
          </w:p>
        </w:tc>
      </w:tr>
      <w:tr w14:paraId="2B09392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118D590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跨域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246258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Flask-CORS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C06032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4.0+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78F586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解决前后端分离部署时的跨域资源共享问题；支持配置允许的origin和方法</w:t>
            </w:r>
          </w:p>
        </w:tc>
      </w:tr>
    </w:tbl>
    <w:p w14:paraId="1D10AF5D">
      <w:r>
        <w:br w:type="page"/>
      </w:r>
    </w:p>
    <w:p w14:paraId="41F35495">
      <w:pPr>
        <w:pStyle w:val="3"/>
        <w:bidi w:val="0"/>
        <w:rPr>
          <w:rFonts w:hint="eastAsia"/>
          <w:lang w:val="en-US" w:eastAsia="zh-CN"/>
        </w:rPr>
      </w:pPr>
      <w:bookmarkStart w:id="4" w:name="_Toc3127"/>
      <w:r>
        <w:rPr>
          <w:rFonts w:hint="eastAsia"/>
          <w:lang w:val="en-US" w:eastAsia="zh-CN"/>
        </w:rPr>
        <w:t>第二章  系统总体架构</w:t>
      </w:r>
      <w:bookmarkEnd w:id="4"/>
    </w:p>
    <w:p w14:paraId="066E3874">
      <w:pPr>
        <w:pStyle w:val="5"/>
        <w:bidi w:val="0"/>
        <w:rPr>
          <w:rFonts w:hint="eastAsia"/>
        </w:rPr>
      </w:pPr>
      <w:bookmarkStart w:id="5" w:name="_Toc1991"/>
      <w:r>
        <w:rPr>
          <w:rFonts w:hint="eastAsia"/>
        </w:rPr>
        <w:t>2.1 三层架构</w:t>
      </w:r>
      <w:bookmarkEnd w:id="5"/>
    </w:p>
    <w:p w14:paraId="1670FD26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系统采用严格的三层架构：展示层（微信小程序）通过HTTP请求调用服务层（Flask API），服务层通过SQLAlchemy ORM访问数据层（SQL Server）。三层之间只通过标准化的JSON数据交换，各层可独立开发、测试和部署。</w:t>
      </w:r>
    </w:p>
    <w:p w14:paraId="40502FF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┌───────────────────────────┐</w:t>
      </w:r>
    </w:p>
    <w:p w14:paraId="653F7DF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展示层：微信小程序（WXML + WXSS + JavaScript）              │</w:t>
      </w:r>
    </w:p>
    <w:p w14:paraId="4D3031A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pages/index/                 首页·综合概览                            │</w:t>
      </w:r>
    </w:p>
    <w:p w14:paraId="387E705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pages/category/              分类指标详情                             │</w:t>
      </w:r>
    </w:p>
    <w:p w14:paraId="4EB4D684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pages/comparison/          对标对比分析                            │</w:t>
      </w:r>
    </w:p>
    <w:p w14:paraId="3326D36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└── pages/detail/                         单项指标详情                       │</w:t>
      </w:r>
    </w:p>
    <w:p w14:paraId="772EB7B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数据交互：wx.request(url: http://host:5000/api/xxx)                     │</w:t>
      </w:r>
    </w:p>
    <w:p w14:paraId="426487C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└───────────┬───────────────┘</w:t>
      </w:r>
    </w:p>
    <w:p w14:paraId="4708892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                                            │ HTTP / JSON</w:t>
      </w:r>
    </w:p>
    <w:p w14:paraId="71CC860D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┌───────────┴───────────────┐</w:t>
      </w:r>
    </w:p>
    <w:p w14:paraId="01022796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服务层：Flask (Python 3.9)                                                            │</w:t>
      </w:r>
    </w:p>
    <w:p w14:paraId="7C873236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app.py                         路由注册 + 调度器启动                 │</w:t>
      </w:r>
    </w:p>
    <w:p w14:paraId="5BC9C5D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api/dashboard.py     GET /api/overview                              │</w:t>
      </w:r>
    </w:p>
    <w:p w14:paraId="0EEB4D7A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api/indicators.py     GET /api/category/&lt;id&gt;                        │</w:t>
      </w:r>
    </w:p>
    <w:p w14:paraId="123A6CBA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api/comparison.py          GET /api/comparison                   │</w:t>
      </w:r>
    </w:p>
    <w:p w14:paraId="1AF7E91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services/update_service.py     快照生成 + 汇总计算         │</w:t>
      </w:r>
    </w:p>
    <w:p w14:paraId="2298607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└── crawler/scheduler.py              APScheduler 定时任务        │</w:t>
      </w:r>
    </w:p>
    <w:p w14:paraId="658EB6D5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└───────────┬───────────────┘</w:t>
      </w:r>
    </w:p>
    <w:p w14:paraId="56348E8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                                            │ SQLAlchemy ORM</w:t>
      </w:r>
    </w:p>
    <w:p w14:paraId="0640D8CD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┌───────────┴───────────────┐</w:t>
      </w:r>
    </w:p>
    <w:p w14:paraId="1D45B5CB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数据层：SQL Server (CAUC_DoubleFirstClass)                          │</w:t>
      </w:r>
    </w:p>
    <w:p w14:paraId="477060A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IndicatorCategory          指标大类（5行）                     │</w:t>
      </w:r>
    </w:p>
    <w:p w14:paraId="6E5E8585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IndicatorMaster             指标定义（24行）                    │</w:t>
      </w:r>
    </w:p>
    <w:p w14:paraId="5EC828D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CAUCData             中航大实际数据（追加写入）        │</w:t>
      </w:r>
    </w:p>
    <w:p w14:paraId="344D272D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├── DataSnapshot         历史快照（趋势图数据源）             │</w:t>
      </w:r>
    </w:p>
    <w:p w14:paraId="10C8DD12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│  └── CompletionSummary   完成度汇总（各维度加权完成度）   │</w:t>
      </w:r>
    </w:p>
    <w:p w14:paraId="307BE95D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└─────────────────────────────┘</w:t>
      </w:r>
    </w:p>
    <w:p w14:paraId="3011A79B">
      <w:pPr>
        <w:pStyle w:val="5"/>
        <w:bidi w:val="0"/>
        <w:rPr>
          <w:rFonts w:hint="eastAsia"/>
        </w:rPr>
      </w:pPr>
      <w:bookmarkStart w:id="6" w:name="_Toc26888"/>
      <w:r>
        <w:rPr>
          <w:rFonts w:hint="eastAsia"/>
        </w:rPr>
        <w:t>2.2 模块清单与职责边界</w:t>
      </w:r>
      <w:bookmarkEnd w:id="6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1891"/>
        <w:gridCol w:w="2210"/>
        <w:gridCol w:w="1991"/>
        <w:gridCol w:w="1866"/>
      </w:tblGrid>
      <w:tr w14:paraId="5980AB9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58C351B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模块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6BD9E30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物理路径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1D9E715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职责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3B581A0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对外接口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2B065BD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依赖</w:t>
            </w:r>
          </w:p>
        </w:tc>
      </w:tr>
      <w:tr w14:paraId="715DCCE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1A8BA0B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应用入口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72ACDD9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1ED0891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创建Flask实例、注册API路由、初始化调度器、配置CORS、数据库连接验证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378FC3A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main启动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46F1EA6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config,api/*, services/*, crawler/*</w:t>
            </w:r>
          </w:p>
        </w:tc>
      </w:tr>
      <w:tr w14:paraId="0E82AA7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57FBEE9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配置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34CE0F6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config.py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0A1D479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数据库连接串、爬虫请求头、爬取间隔、CAUC官网URL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0B42F65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get_db_uri()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57F9865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</w:t>
            </w:r>
          </w:p>
        </w:tc>
      </w:tr>
      <w:tr w14:paraId="2D78987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61F1BA1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API-综合看板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7E385A5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api/dashboard.py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5B1A4E8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查询24项指标最新数据，加权计算综合完成度和各维度完成度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5D50002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get_overview()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1AB8B2D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models</w:t>
            </w:r>
          </w:p>
        </w:tc>
      </w:tr>
      <w:tr w14:paraId="528B2D0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04E3D13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API-分类详情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346322B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api/indicators.py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18C5751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按CategoryID查询某分类下全部指标详情，计算完成度和与全国均值的差距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4190B4A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get_category_detail(id)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5513EEF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models</w:t>
            </w:r>
          </w:p>
        </w:tc>
      </w:tr>
      <w:tr w14:paraId="36A1BF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02F440F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API-三方对比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3D94CB6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api/comparison.py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410EFB0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生成雷达图数据（五维三线）和柱状图数据（24项逐项）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62AD2AF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get_comparison()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34F11D3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models</w:t>
            </w:r>
          </w:p>
        </w:tc>
      </w:tr>
      <w:tr w14:paraId="7AF8E34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29A625E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数据模型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2E353A3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database/models.py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3214F6C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定义5张表的ORM类及字段映射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4C5F567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db.Model子类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5E4A97E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Flask-SQLAlchemy</w:t>
            </w:r>
          </w:p>
        </w:tc>
      </w:tr>
      <w:tr w14:paraId="5555D9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5734F09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数据脚本-基准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5FAB368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database/seed_benchmarks.py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2EF270C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将双一流目标值和全国均值写入IndicatorMaster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0662671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直接执行/print模式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14F4470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models或pyodbc</w:t>
            </w:r>
          </w:p>
        </w:tc>
      </w:tr>
      <w:tr w14:paraId="539A95D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3128FCE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数据脚本-实际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5A374B7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database/seed_cauc_data.py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07F72B4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将中航大24项实际值写入CAUCData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58D80EF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直接执行/print模式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58539DD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同左</w:t>
            </w:r>
          </w:p>
        </w:tc>
      </w:tr>
      <w:tr w14:paraId="34E5E95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545EF15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数据流水线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2867244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setup_data.py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4475770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一键执行建库→种子→基准→实际数据全流程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7B6BD5A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 setup_data.py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34AEEFA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subprocess+sqlcmd</w:t>
            </w:r>
          </w:p>
        </w:tc>
      </w:tr>
      <w:tr w14:paraId="7408B77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5C481AA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快照服务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0CBFC77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services/update_service.py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665BB38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遍历24项指标生成DataSnapshot；按维度加权计算CompletionSummary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6C1A6E7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generate_snapshot() / full_update_cycle()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258612A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models</w:t>
            </w:r>
          </w:p>
        </w:tc>
      </w:tr>
      <w:tr w14:paraId="635C806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3C7D250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爬虫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758340A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crawler/cauc_spider.py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3907C32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requests获取HTML → BS4解析新闻标题+链接+摘要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26F148C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crawl_cauc_news()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145EDB5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requests, bs4</w:t>
            </w:r>
          </w:p>
        </w:tc>
      </w:tr>
      <w:tr w14:paraId="06375DB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4" w:type="dxa"/>
            <w:tcBorders>
              <w:tl2br w:val="nil"/>
              <w:tr2bl w:val="nil"/>
            </w:tcBorders>
            <w:vAlign w:val="center"/>
          </w:tcPr>
          <w:p w14:paraId="4E48E21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调度器</w:t>
            </w:r>
          </w:p>
        </w:tc>
        <w:tc>
          <w:tcPr>
            <w:tcW w:w="1891" w:type="dxa"/>
            <w:tcBorders>
              <w:tl2br w:val="nil"/>
              <w:tr2bl w:val="nil"/>
            </w:tcBorders>
            <w:vAlign w:val="center"/>
          </w:tcPr>
          <w:p w14:paraId="4C86830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crawler/scheduler.py</w:t>
            </w:r>
          </w:p>
        </w:tc>
        <w:tc>
          <w:tcPr>
            <w:tcW w:w="2210" w:type="dxa"/>
            <w:tcBorders>
              <w:tl2br w:val="nil"/>
              <w:tr2bl w:val="nil"/>
            </w:tcBorders>
            <w:vAlign w:val="center"/>
          </w:tcPr>
          <w:p w14:paraId="46D44F5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注册3个定时任务到APScheduler（6h爬取、月度快照、启动快照）</w:t>
            </w:r>
          </w:p>
        </w:tc>
        <w:tc>
          <w:tcPr>
            <w:tcW w:w="1991" w:type="dxa"/>
            <w:tcBorders>
              <w:tl2br w:val="nil"/>
              <w:tr2bl w:val="nil"/>
            </w:tcBorders>
            <w:vAlign w:val="center"/>
          </w:tcPr>
          <w:p w14:paraId="1D164B0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init_scheduler(app)</w:t>
            </w:r>
          </w:p>
        </w:tc>
        <w:tc>
          <w:tcPr>
            <w:tcW w:w="1866" w:type="dxa"/>
            <w:tcBorders>
              <w:tl2br w:val="nil"/>
              <w:tr2bl w:val="nil"/>
            </w:tcBorders>
            <w:vAlign w:val="center"/>
          </w:tcPr>
          <w:p w14:paraId="0C1D715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apscheduler, services</w:t>
            </w:r>
          </w:p>
        </w:tc>
      </w:tr>
    </w:tbl>
    <w:p w14:paraId="101F379D"/>
    <w:p w14:paraId="43181574">
      <w:r>
        <w:br w:type="page"/>
      </w:r>
    </w:p>
    <w:p w14:paraId="02EB76DD">
      <w:pPr>
        <w:pStyle w:val="3"/>
        <w:bidi w:val="0"/>
        <w:rPr>
          <w:rFonts w:hint="eastAsia"/>
          <w:lang w:val="en-US" w:eastAsia="zh-CN"/>
        </w:rPr>
      </w:pPr>
      <w:bookmarkStart w:id="7" w:name="_Toc6439"/>
      <w:r>
        <w:rPr>
          <w:rFonts w:hint="eastAsia"/>
          <w:lang w:val="en-US" w:eastAsia="zh-CN"/>
        </w:rPr>
        <w:t>第三章  数据库设计</w:t>
      </w:r>
      <w:bookmarkEnd w:id="7"/>
    </w:p>
    <w:p w14:paraId="35CF697F">
      <w:pPr>
        <w:pStyle w:val="5"/>
        <w:bidi w:val="0"/>
        <w:rPr>
          <w:rFonts w:hint="eastAsia"/>
        </w:rPr>
      </w:pPr>
      <w:bookmarkStart w:id="8" w:name="_Toc24091"/>
      <w:r>
        <w:rPr>
          <w:rFonts w:hint="eastAsia"/>
        </w:rPr>
        <w:t>3.1 设计目标</w:t>
      </w:r>
      <w:bookmarkEnd w:id="8"/>
    </w:p>
    <w:p w14:paraId="54EB1CC0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本阶段将前期确定的三层指标体系（实际值/目标值/常模值）转化为完整的数据库表结构、字段定义、约束条件和索引方案。设计完成后，爬虫脚本和API可直接依据本表结构进行数据读写。</w:t>
      </w:r>
    </w:p>
    <w:p w14:paraId="438D599D">
      <w:pPr>
        <w:pStyle w:val="5"/>
        <w:bidi w:val="0"/>
        <w:rPr>
          <w:rFonts w:hint="eastAsia"/>
        </w:rPr>
      </w:pPr>
      <w:bookmarkStart w:id="9" w:name="_Toc23674"/>
      <w:r>
        <w:rPr>
          <w:rFonts w:hint="eastAsia"/>
        </w:rPr>
        <w:t>3.2 实体关系</w:t>
      </w:r>
      <w:bookmarkEnd w:id="9"/>
    </w:p>
    <w:p w14:paraId="679E9D7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核心关系链：IndicatorCategory（大类）1 : N IndicatorMaster（指标定义）1 : N CAUCData（实际数据）。DataSnapshot和CompletionSummary为派生数据表，由定时调度器自动生成，不在常规业务流程中手动操作。</w:t>
      </w:r>
    </w:p>
    <w:p w14:paraId="23AA1F2B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设计要点：CAUCData采用"追加写入"而非"覆盖更新"策略——每次数据变更新增一条记录（INSERT），通过ORDER BY ScrapeTime DESC + LIMIT 1取最新值。此设计保留了完整的数据变更历史，配合DataSnapshot表可实现任意时间点的数据回溯。</w:t>
      </w:r>
    </w:p>
    <w:p w14:paraId="2F0A0367">
      <w:pPr>
        <w:pStyle w:val="5"/>
        <w:bidi w:val="0"/>
        <w:rPr>
          <w:rFonts w:hint="eastAsia"/>
        </w:rPr>
      </w:pPr>
      <w:bookmarkStart w:id="10" w:name="_Toc21018"/>
      <w:r>
        <w:rPr>
          <w:rFonts w:hint="eastAsia"/>
        </w:rPr>
        <w:t>3.3 表一：IndicatorCategory（指标大类）</w:t>
      </w:r>
      <w:bookmarkEnd w:id="10"/>
    </w:p>
    <w:p w14:paraId="45249C1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用途：存储双一流建设监测指标的五大大类分类信息。该表为静态表，初始化后极少修改。</w:t>
      </w:r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429"/>
        <w:gridCol w:w="1222"/>
        <w:gridCol w:w="1647"/>
        <w:gridCol w:w="1156"/>
        <w:gridCol w:w="2995"/>
      </w:tblGrid>
      <w:tr w14:paraId="2C607F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vAlign w:val="center"/>
          </w:tcPr>
          <w:p w14:paraId="357F5ED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429" w:type="dxa"/>
            <w:tcBorders>
              <w:tl2br w:val="nil"/>
              <w:tr2bl w:val="nil"/>
            </w:tcBorders>
            <w:vAlign w:val="center"/>
          </w:tcPr>
          <w:p w14:paraId="1587D1F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类型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vAlign w:val="center"/>
          </w:tcPr>
          <w:p w14:paraId="5A9B244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长度/精度</w:t>
            </w:r>
          </w:p>
        </w:tc>
        <w:tc>
          <w:tcPr>
            <w:tcW w:w="1647" w:type="dxa"/>
            <w:tcBorders>
              <w:tl2br w:val="nil"/>
              <w:tr2bl w:val="nil"/>
            </w:tcBorders>
            <w:vAlign w:val="center"/>
          </w:tcPr>
          <w:p w14:paraId="20B18A0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约束</w:t>
            </w:r>
          </w:p>
        </w:tc>
        <w:tc>
          <w:tcPr>
            <w:tcW w:w="1156" w:type="dxa"/>
            <w:tcBorders>
              <w:tl2br w:val="nil"/>
              <w:tr2bl w:val="nil"/>
            </w:tcBorders>
            <w:vAlign w:val="center"/>
          </w:tcPr>
          <w:p w14:paraId="11E3E0F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默认值</w:t>
            </w:r>
          </w:p>
        </w:tc>
        <w:tc>
          <w:tcPr>
            <w:tcW w:w="2995" w:type="dxa"/>
            <w:tcBorders>
              <w:tl2br w:val="nil"/>
              <w:tr2bl w:val="nil"/>
            </w:tcBorders>
            <w:vAlign w:val="center"/>
          </w:tcPr>
          <w:p w14:paraId="5C8A2B0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19D734E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vAlign w:val="center"/>
          </w:tcPr>
          <w:p w14:paraId="3F340B4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CategoryID</w:t>
            </w:r>
          </w:p>
        </w:tc>
        <w:tc>
          <w:tcPr>
            <w:tcW w:w="1429" w:type="dxa"/>
            <w:tcBorders>
              <w:tl2br w:val="nil"/>
              <w:tr2bl w:val="nil"/>
            </w:tcBorders>
            <w:vAlign w:val="center"/>
          </w:tcPr>
          <w:p w14:paraId="7B797EB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vAlign w:val="center"/>
          </w:tcPr>
          <w:p w14:paraId="3AA8A1F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647" w:type="dxa"/>
            <w:tcBorders>
              <w:tl2br w:val="nil"/>
              <w:tr2bl w:val="nil"/>
            </w:tcBorders>
            <w:vAlign w:val="center"/>
          </w:tcPr>
          <w:p w14:paraId="711EFFC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PRIMARY KEY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IDENTITY(1,1)</w:t>
            </w:r>
          </w:p>
        </w:tc>
        <w:tc>
          <w:tcPr>
            <w:tcW w:w="1156" w:type="dxa"/>
            <w:tcBorders>
              <w:tl2br w:val="nil"/>
              <w:tr2bl w:val="nil"/>
            </w:tcBorders>
            <w:vAlign w:val="center"/>
          </w:tcPr>
          <w:p w14:paraId="406B9BE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自增</w:t>
            </w:r>
          </w:p>
        </w:tc>
        <w:tc>
          <w:tcPr>
            <w:tcW w:w="2995" w:type="dxa"/>
            <w:tcBorders>
              <w:tl2br w:val="nil"/>
              <w:tr2bl w:val="nil"/>
            </w:tcBorders>
            <w:vAlign w:val="center"/>
          </w:tcPr>
          <w:p w14:paraId="13BB870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大类主键，唯一标识一个大类</w:t>
            </w:r>
          </w:p>
        </w:tc>
      </w:tr>
      <w:tr w14:paraId="470ACA2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vAlign w:val="center"/>
          </w:tcPr>
          <w:p w14:paraId="36DE4B2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CategoryName</w:t>
            </w:r>
          </w:p>
        </w:tc>
        <w:tc>
          <w:tcPr>
            <w:tcW w:w="1429" w:type="dxa"/>
            <w:tcBorders>
              <w:tl2br w:val="nil"/>
              <w:tr2bl w:val="nil"/>
            </w:tcBorders>
            <w:vAlign w:val="center"/>
          </w:tcPr>
          <w:p w14:paraId="3A584B2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vAlign w:val="center"/>
          </w:tcPr>
          <w:p w14:paraId="7DE55DB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</w:t>
            </w:r>
          </w:p>
        </w:tc>
        <w:tc>
          <w:tcPr>
            <w:tcW w:w="1647" w:type="dxa"/>
            <w:tcBorders>
              <w:tl2br w:val="nil"/>
              <w:tr2bl w:val="nil"/>
            </w:tcBorders>
            <w:vAlign w:val="center"/>
          </w:tcPr>
          <w:p w14:paraId="7239F44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156" w:type="dxa"/>
            <w:tcBorders>
              <w:tl2br w:val="nil"/>
              <w:tr2bl w:val="nil"/>
            </w:tcBorders>
            <w:vAlign w:val="center"/>
          </w:tcPr>
          <w:p w14:paraId="2A443A6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2995" w:type="dxa"/>
            <w:tcBorders>
              <w:tl2br w:val="nil"/>
              <w:tr2bl w:val="nil"/>
            </w:tcBorders>
            <w:vAlign w:val="center"/>
          </w:tcPr>
          <w:p w14:paraId="59F11FA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大类名称：人才培养/师资队伍/科研成果/社会服务/国际化</w:t>
            </w:r>
          </w:p>
        </w:tc>
      </w:tr>
      <w:tr w14:paraId="535C982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vAlign w:val="center"/>
          </w:tcPr>
          <w:p w14:paraId="47C947B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Icon</w:t>
            </w:r>
          </w:p>
        </w:tc>
        <w:tc>
          <w:tcPr>
            <w:tcW w:w="1429" w:type="dxa"/>
            <w:tcBorders>
              <w:tl2br w:val="nil"/>
              <w:tr2bl w:val="nil"/>
            </w:tcBorders>
            <w:vAlign w:val="center"/>
          </w:tcPr>
          <w:p w14:paraId="17AC60F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vAlign w:val="center"/>
          </w:tcPr>
          <w:p w14:paraId="6D64BC9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647" w:type="dxa"/>
            <w:tcBorders>
              <w:tl2br w:val="nil"/>
              <w:tr2bl w:val="nil"/>
            </w:tcBorders>
            <w:vAlign w:val="center"/>
          </w:tcPr>
          <w:p w14:paraId="05FD376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156" w:type="dxa"/>
            <w:tcBorders>
              <w:tl2br w:val="nil"/>
              <w:tr2bl w:val="nil"/>
            </w:tcBorders>
            <w:vAlign w:val="center"/>
          </w:tcPr>
          <w:p w14:paraId="4D19CFD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2995" w:type="dxa"/>
            <w:tcBorders>
              <w:tl2br w:val="nil"/>
              <w:tr2bl w:val="nil"/>
            </w:tcBorders>
            <w:vAlign w:val="center"/>
          </w:tcPr>
          <w:p w14:paraId="46467B2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前端图标标识（education/faculty/research/service/international）</w:t>
            </w:r>
          </w:p>
        </w:tc>
      </w:tr>
      <w:tr w14:paraId="16D9A67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tcBorders>
              <w:tl2br w:val="nil"/>
              <w:tr2bl w:val="nil"/>
            </w:tcBorders>
            <w:vAlign w:val="center"/>
          </w:tcPr>
          <w:p w14:paraId="2DBF7B0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SortOrder</w:t>
            </w:r>
          </w:p>
        </w:tc>
        <w:tc>
          <w:tcPr>
            <w:tcW w:w="1429" w:type="dxa"/>
            <w:tcBorders>
              <w:tl2br w:val="nil"/>
              <w:tr2bl w:val="nil"/>
            </w:tcBorders>
            <w:vAlign w:val="center"/>
          </w:tcPr>
          <w:p w14:paraId="6B16D26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22" w:type="dxa"/>
            <w:tcBorders>
              <w:tl2br w:val="nil"/>
              <w:tr2bl w:val="nil"/>
            </w:tcBorders>
            <w:vAlign w:val="center"/>
          </w:tcPr>
          <w:p w14:paraId="057B802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647" w:type="dxa"/>
            <w:tcBorders>
              <w:tl2br w:val="nil"/>
              <w:tr2bl w:val="nil"/>
            </w:tcBorders>
            <w:vAlign w:val="center"/>
          </w:tcPr>
          <w:p w14:paraId="6234AE9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156" w:type="dxa"/>
            <w:tcBorders>
              <w:tl2br w:val="nil"/>
              <w:tr2bl w:val="nil"/>
            </w:tcBorders>
            <w:vAlign w:val="center"/>
          </w:tcPr>
          <w:p w14:paraId="6437CDD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2995" w:type="dxa"/>
            <w:tcBorders>
              <w:tl2br w:val="nil"/>
              <w:tr2bl w:val="nil"/>
            </w:tcBorders>
            <w:vAlign w:val="center"/>
          </w:tcPr>
          <w:p w14:paraId="60B6972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前端展示排序：1=人才培养, 2=师资队伍, 3=科研成果, 4=社会服务, 5=国际化</w:t>
            </w:r>
          </w:p>
        </w:tc>
      </w:tr>
    </w:tbl>
    <w:p w14:paraId="28337AB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数据量：固定5行。</w:t>
      </w:r>
    </w:p>
    <w:p w14:paraId="513851F8">
      <w:pPr>
        <w:pStyle w:val="5"/>
        <w:bidi w:val="0"/>
        <w:rPr>
          <w:rFonts w:hint="eastAsia"/>
        </w:rPr>
      </w:pPr>
      <w:bookmarkStart w:id="11" w:name="_Toc21937"/>
      <w:r>
        <w:rPr>
          <w:rFonts w:hint="eastAsia"/>
        </w:rPr>
        <w:t>3.4 表二：IndicatorMaster（指标定义主表）</w:t>
      </w:r>
      <w:bookmarkEnd w:id="11"/>
    </w:p>
    <w:p w14:paraId="7FD260D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用途：存储每项具体指标的定义信息、建设目标值和同类高校常模值。该表为系统核心配置表，24项指标的目标值和常模值均存储于此。</w:t>
      </w:r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1532"/>
        <w:gridCol w:w="1416"/>
        <w:gridCol w:w="1954"/>
        <w:gridCol w:w="1425"/>
        <w:gridCol w:w="1744"/>
      </w:tblGrid>
      <w:tr w14:paraId="1A8BF33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2179E7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EF936C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类型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768860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长度/精度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EA7EA5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约束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9C6A40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默认值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EA55C3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11DA0FD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033E9E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IndicatorID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866418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AD3444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131F43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PRIMARY KEY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IDENTITY(1,1)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371E4F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自增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455843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指标主键（1-24），唯一标识一项指标</w:t>
            </w:r>
          </w:p>
        </w:tc>
      </w:tr>
      <w:tr w14:paraId="73C144D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7A3EBB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CategoryID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8721D8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533B25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0C1E44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FOREIGN KEY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→IndicatorCategory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9751C8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C4A445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所属大类ID，关联IndicatorCategory表</w:t>
            </w:r>
          </w:p>
        </w:tc>
      </w:tr>
      <w:tr w14:paraId="316A6CA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C42C5F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IndicatorCode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7C3BFB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AB8A73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F05571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UNIQUE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E998EF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2F4E75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指标编号：RC-01~07, FC-01~05, SR-01~06, SS-01~03, INT-01~03</w:t>
            </w:r>
          </w:p>
        </w:tc>
      </w:tr>
      <w:tr w14:paraId="5995629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C768F7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IndicatorName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D04CE7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91F3FF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5151D1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18A3AB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C1EF9B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指标的中文全称，用于前端卡片和详情页展示</w:t>
            </w:r>
          </w:p>
        </w:tc>
      </w:tr>
      <w:tr w14:paraId="6E280B4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E501EC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Unit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2F5929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4D4A7A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0414BB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FC72E7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B92FB8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指标计量单位：个、门、项、人、%、亿元、万元、件、:1</w:t>
            </w:r>
          </w:p>
        </w:tc>
      </w:tr>
      <w:tr w14:paraId="60782FE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ECFCE1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Weight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307075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AEF915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(5,2)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08838E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319DD7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01C84A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该指标在大类内的权重（%），用于加权计算维度完成度</w:t>
            </w:r>
          </w:p>
        </w:tc>
      </w:tr>
      <w:tr w14:paraId="21979C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533EF4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TargetValue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BC9DF1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CF55F3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(18,2)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D539E4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72BEAC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A8DA18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双一流建设目标值——行业特色型高校B层合理建设目标</w:t>
            </w:r>
          </w:p>
        </w:tc>
      </w:tr>
      <w:tr w14:paraId="1604C1F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D50AA6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NationalAvg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60AA2E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F0C2E3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(18,2)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0C5F76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92B3EE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E665F7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同类高校常模值——行业特色型高校B层各项指标的中位数/常模</w:t>
            </w:r>
          </w:p>
        </w:tc>
      </w:tr>
      <w:tr w14:paraId="19E18B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6B49E9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Direction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DF435B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A6B539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755209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2BC3EC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'up'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9EE671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指标方向：up=数值越高完成度越高，down=数值越低完成度越高（如生师比）</w:t>
            </w:r>
          </w:p>
        </w:tc>
      </w:tr>
      <w:tr w14:paraId="072C15F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2F0424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DataSource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5346F7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85D4A9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200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C05570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4FFA83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A40069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该指标的数据来源说明，用于前端展示和溯源</w:t>
            </w:r>
          </w:p>
        </w:tc>
      </w:tr>
    </w:tbl>
    <w:p w14:paraId="029AD82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数据量：固定24行（人才培养7行+师资队伍5行+科研成果6行+社会服务3行+国际化3行）。该表的TargetValue和NationalAvg字段可通过seed_benchmarks.py脚本批量更新。</w:t>
      </w:r>
    </w:p>
    <w:p w14:paraId="4B79B776">
      <w:pPr>
        <w:pStyle w:val="5"/>
        <w:bidi w:val="0"/>
        <w:rPr>
          <w:rFonts w:hint="eastAsia"/>
        </w:rPr>
      </w:pPr>
      <w:bookmarkStart w:id="12" w:name="_Toc14714"/>
      <w:r>
        <w:rPr>
          <w:rFonts w:hint="eastAsia"/>
        </w:rPr>
        <w:t>3.5 表三：CAUCData（中航大实际数据）</w:t>
      </w:r>
      <w:bookmarkEnd w:id="12"/>
    </w:p>
    <w:p w14:paraId="3E93A2B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用途：存储中国民航大学各项指标的实际数值。采用追加写入策略（每次INSERT而非UPDATE），保留完整的时间序列。</w:t>
      </w:r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768"/>
        <w:gridCol w:w="1568"/>
        <w:gridCol w:w="1568"/>
      </w:tblGrid>
      <w:tr w14:paraId="613006B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07AF8D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B3D586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类型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234182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长度/精度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648ADD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约束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C1317A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默认值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58BBF2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2021B89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D38448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DataID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DF4610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5DFAE6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B45CFA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PRIMARY KEY</w:t>
            </w:r>
          </w:p>
          <w:p w14:paraId="6144AAF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IDENTITY(1,1)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20B6AA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自增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3443FA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数据记录主键，每写入一条数据自动+1</w:t>
            </w:r>
          </w:p>
        </w:tc>
      </w:tr>
      <w:tr w14:paraId="44EB3AD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588DA3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IndicatorID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CD74A3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82B84A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41910D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FOREIGN KEY</w:t>
            </w:r>
          </w:p>
          <w:p w14:paraId="1E94BE1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→IndicatorMaster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E6C96B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94EF5C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关联的指标ID（1-24）</w:t>
            </w:r>
          </w:p>
        </w:tc>
      </w:tr>
      <w:tr w14:paraId="6813F22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A8ED03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ActualValue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299587E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CD3E94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(18,2)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C61EA3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783B52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90A2E9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该指标的实际数值（中航大真实数据）</w:t>
            </w:r>
          </w:p>
        </w:tc>
      </w:tr>
      <w:tr w14:paraId="32C8283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3DD73D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DataYear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69F94F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67BF10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7BE0E4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4D548E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0BF829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数据所属年度（如2024），用于区分不同年份的数据</w:t>
            </w:r>
          </w:p>
        </w:tc>
      </w:tr>
      <w:tr w14:paraId="71F602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048559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ScrapeTime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FA93CA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9E6076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51BD89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AB84BA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GETDATE()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383FDD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数据抓取/录入时间戳，用于取最新数据时的排序</w:t>
            </w:r>
          </w:p>
        </w:tc>
      </w:tr>
      <w:tr w14:paraId="32C4743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6581B49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SourceURL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154B37D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NVARCHAR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ED7630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300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5EF707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55B7E18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C2AC1E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数据来源的URL地址，用于溯源和跳转</w:t>
            </w:r>
          </w:p>
        </w:tc>
      </w:tr>
      <w:tr w14:paraId="3D4BD1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E81F7F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IsManual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51D296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BIT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76D0475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4F48A27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01A2964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vAlign w:val="center"/>
          </w:tcPr>
          <w:p w14:paraId="38FDE0C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数据录入方式标志：0=爬虫自动抓取，1=人工手动录入</w:t>
            </w:r>
          </w:p>
        </w:tc>
      </w:tr>
    </w:tbl>
    <w:p w14:paraId="7BAA17F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索引设计：(IndicatorID, ScrapeTime DESC)复合索引，支持"获取某指标最新数据"的高频查询。数据量：每项指标至少1条记录，按年度和更新频率增长。</w:t>
      </w:r>
    </w:p>
    <w:p w14:paraId="7B65BE66">
      <w:pPr>
        <w:pStyle w:val="5"/>
        <w:bidi w:val="0"/>
        <w:rPr>
          <w:rFonts w:hint="eastAsia"/>
        </w:rPr>
      </w:pPr>
      <w:bookmarkStart w:id="13" w:name="_Toc11943"/>
      <w:r>
        <w:rPr>
          <w:rFonts w:hint="eastAsia"/>
        </w:rPr>
        <w:t>3.6 表四：DataSnapshot（历史快照）</w:t>
      </w:r>
      <w:bookmarkEnd w:id="13"/>
    </w:p>
    <w:p w14:paraId="64BA8C91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用途：记录每项指标在特定时间点的完成度快照，为前端趋势折线图提供历史数据源。该表由services/update_service.py的generate_snapshot()函数自动生成。</w:t>
      </w:r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60"/>
        <w:gridCol w:w="1847"/>
        <w:gridCol w:w="2199"/>
        <w:gridCol w:w="1844"/>
      </w:tblGrid>
      <w:tr w14:paraId="37754A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99BE9C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5E9D3D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类型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01D6D5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长度/精度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7F432A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约束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6CC2336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4573B9C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B3CABB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SnapshotID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69CA02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84CA88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8897B4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PRIMARY KEY IDENTITY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BEA1AD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快照主键</w:t>
            </w:r>
          </w:p>
        </w:tc>
      </w:tr>
      <w:tr w14:paraId="4130622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14D36D5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SnapshotDate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1D713A2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6811B8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459586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624660D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快照日期，每月1日生成</w:t>
            </w:r>
          </w:p>
        </w:tc>
      </w:tr>
      <w:tr w14:paraId="7D118E4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54F9E51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IndicatorID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2C1EC6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19609F8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1FA0598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FOREIGN KEY→IndicatorMaster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A5F131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关联指标ID</w:t>
            </w:r>
          </w:p>
        </w:tc>
      </w:tr>
      <w:tr w14:paraId="06FE9FC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12E8A5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29DCA49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D8A0CA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(18,2)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2C2F2C1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16B346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快照时刻该指标的实际值</w:t>
            </w:r>
          </w:p>
        </w:tc>
      </w:tr>
      <w:tr w14:paraId="56E6A28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166F31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CompletionRate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BF2F1E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24333AD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(5,2)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6AA0982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296CD7F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快照时刻该指标的完成度百分比（保留2位小数）</w:t>
            </w:r>
          </w:p>
        </w:tc>
      </w:tr>
    </w:tbl>
    <w:p w14:paraId="35C95D0B"/>
    <w:p w14:paraId="1D199502">
      <w:pPr>
        <w:pStyle w:val="5"/>
        <w:bidi w:val="0"/>
        <w:rPr>
          <w:rFonts w:hint="eastAsia"/>
        </w:rPr>
      </w:pPr>
      <w:bookmarkStart w:id="14" w:name="_Toc26871"/>
      <w:r>
        <w:rPr>
          <w:rFonts w:hint="eastAsia"/>
        </w:rPr>
        <w:t>3.7 表五：CompletionSummary（完成度汇总）</w:t>
      </w:r>
      <w:bookmarkEnd w:id="14"/>
    </w:p>
    <w:p w14:paraId="0A64146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用途：记录各个维度在特定时间点的加权完成度，为前端雷达图和维度卡片提供历史对比数据。该表同由generate_completion_summary()自动生成。</w:t>
      </w:r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86"/>
        <w:gridCol w:w="2351"/>
      </w:tblGrid>
      <w:tr w14:paraId="5664B9B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</w:tcPr>
          <w:p w14:paraId="36EC627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字段名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51D2231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类型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6D18573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约束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7453B92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74252F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</w:tcPr>
          <w:p w14:paraId="59C3819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SummaryID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3165A51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75E6A8A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PRIMARY KEY IDENTITY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5D57C4D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汇总主键</w:t>
            </w:r>
          </w:p>
        </w:tc>
      </w:tr>
      <w:tr w14:paraId="79464ED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</w:tcPr>
          <w:p w14:paraId="327343F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ReportDate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5B9DD1C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26F30D5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04AF117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汇总日期</w:t>
            </w:r>
          </w:p>
        </w:tc>
      </w:tr>
      <w:tr w14:paraId="436C2D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</w:tcPr>
          <w:p w14:paraId="41EBDB2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CategoryID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1F5F010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7FF96D3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FOREIGN KEY→IndicatorCategory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78D81FC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关联大类ID</w:t>
            </w:r>
          </w:p>
        </w:tc>
      </w:tr>
      <w:tr w14:paraId="4A8C105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</w:tcPr>
          <w:p w14:paraId="0755000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CompletionRate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35B5BE1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DECIMAL(5,2)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47E247D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4ECC6B7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该大类加权完成度</w:t>
            </w:r>
          </w:p>
        </w:tc>
      </w:tr>
      <w:tr w14:paraId="7AF253F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</w:tcPr>
          <w:p w14:paraId="1AA47B5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NationalAvgRate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7C7374C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DECIMAL(5,2)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0B3E3EA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 NULL</w:t>
            </w:r>
          </w:p>
        </w:tc>
        <w:tc>
          <w:tcPr>
            <w:tcW w:w="2351" w:type="dxa"/>
            <w:tcBorders>
              <w:tl2br w:val="nil"/>
              <w:tr2bl w:val="nil"/>
            </w:tcBorders>
          </w:tcPr>
          <w:p w14:paraId="6636BE9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该大类全国均值达成度</w:t>
            </w:r>
          </w:p>
        </w:tc>
      </w:tr>
    </w:tbl>
    <w:p w14:paraId="4898F0A4">
      <w:r>
        <w:br w:type="page"/>
      </w:r>
    </w:p>
    <w:p w14:paraId="1972095A">
      <w:pPr>
        <w:pStyle w:val="3"/>
        <w:bidi w:val="0"/>
        <w:rPr>
          <w:rFonts w:hint="eastAsia"/>
          <w:lang w:val="en-US" w:eastAsia="zh-CN"/>
        </w:rPr>
      </w:pPr>
      <w:bookmarkStart w:id="15" w:name="_Toc14897"/>
      <w:r>
        <w:rPr>
          <w:rFonts w:hint="eastAsia"/>
          <w:lang w:val="en-US" w:eastAsia="zh-CN"/>
        </w:rPr>
        <w:t>第四章  API接口设计</w:t>
      </w:r>
      <w:bookmarkEnd w:id="15"/>
    </w:p>
    <w:p w14:paraId="5E5D971B">
      <w:pPr>
        <w:pStyle w:val="5"/>
        <w:bidi w:val="0"/>
        <w:rPr>
          <w:rFonts w:hint="eastAsia"/>
        </w:rPr>
      </w:pPr>
      <w:bookmarkStart w:id="16" w:name="_Toc7415"/>
      <w:r>
        <w:rPr>
          <w:rFonts w:hint="eastAsia"/>
        </w:rPr>
        <w:t>4.1 接口总览</w:t>
      </w:r>
      <w:bookmarkEnd w:id="16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1288"/>
        <w:gridCol w:w="1123"/>
        <w:gridCol w:w="1953"/>
        <w:gridCol w:w="4424"/>
      </w:tblGrid>
      <w:tr w14:paraId="65B35E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tcBorders>
              <w:tl2br w:val="nil"/>
              <w:tr2bl w:val="nil"/>
            </w:tcBorders>
            <w:vAlign w:val="center"/>
          </w:tcPr>
          <w:p w14:paraId="0208E61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方法</w:t>
            </w:r>
          </w:p>
        </w:tc>
        <w:tc>
          <w:tcPr>
            <w:tcW w:w="1288" w:type="dxa"/>
            <w:tcBorders>
              <w:tl2br w:val="nil"/>
              <w:tr2bl w:val="nil"/>
            </w:tcBorders>
            <w:vAlign w:val="center"/>
          </w:tcPr>
          <w:p w14:paraId="127ADB9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路径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4EB72C8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功能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2A4B599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请求参数</w:t>
            </w:r>
          </w:p>
        </w:tc>
        <w:tc>
          <w:tcPr>
            <w:tcW w:w="4424" w:type="dxa"/>
            <w:tcBorders>
              <w:tl2br w:val="nil"/>
              <w:tr2bl w:val="nil"/>
            </w:tcBorders>
            <w:vAlign w:val="center"/>
          </w:tcPr>
          <w:p w14:paraId="7E2C15C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成功返回(code=200)</w:t>
            </w:r>
          </w:p>
        </w:tc>
      </w:tr>
      <w:tr w14:paraId="5B24A0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tcBorders>
              <w:tl2br w:val="nil"/>
              <w:tr2bl w:val="nil"/>
            </w:tcBorders>
            <w:vAlign w:val="center"/>
          </w:tcPr>
          <w:p w14:paraId="56CB1C8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1288" w:type="dxa"/>
            <w:tcBorders>
              <w:tl2br w:val="nil"/>
              <w:tr2bl w:val="nil"/>
            </w:tcBorders>
            <w:vAlign w:val="center"/>
          </w:tcPr>
          <w:p w14:paraId="035BB4D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/api/overview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2AD504F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综合概览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1188DAB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</w:t>
            </w:r>
          </w:p>
        </w:tc>
        <w:tc>
          <w:tcPr>
            <w:tcW w:w="4424" w:type="dxa"/>
            <w:tcBorders>
              <w:tl2br w:val="nil"/>
              <w:tr2bl w:val="nil"/>
            </w:tcBorders>
            <w:vAlign w:val="center"/>
          </w:tcPr>
          <w:p w14:paraId="522781E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{overallRate: float, updateTime: str, categories: [{id,name,rate,nationalRate,indicators:[{code,name,actual,target,nationalAvg,rate,unit}]}]}</w:t>
            </w:r>
          </w:p>
        </w:tc>
      </w:tr>
      <w:tr w14:paraId="42B047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tcBorders>
              <w:tl2br w:val="nil"/>
              <w:tr2bl w:val="nil"/>
            </w:tcBorders>
            <w:vAlign w:val="center"/>
          </w:tcPr>
          <w:p w14:paraId="656FE49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1288" w:type="dxa"/>
            <w:tcBorders>
              <w:tl2br w:val="nil"/>
              <w:tr2bl w:val="nil"/>
            </w:tcBorders>
            <w:vAlign w:val="center"/>
          </w:tcPr>
          <w:p w14:paraId="7B0A53F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/api/category/&lt;id&gt;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7CC8A15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分类详情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318E8B8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id: 1-5(URL路径)</w:t>
            </w:r>
          </w:p>
        </w:tc>
        <w:tc>
          <w:tcPr>
            <w:tcW w:w="4424" w:type="dxa"/>
            <w:tcBorders>
              <w:tl2br w:val="nil"/>
              <w:tr2bl w:val="nil"/>
            </w:tcBorders>
            <w:vAlign w:val="center"/>
          </w:tcPr>
          <w:p w14:paraId="493D9B5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[{id,code,name,actual,target,nationalAvg,unit,weight,completionRate,nationalRate,direction,dataSource,gapToTarget,gapToNational}]</w:t>
            </w:r>
          </w:p>
        </w:tc>
      </w:tr>
      <w:tr w14:paraId="1D09719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tcBorders>
              <w:tl2br w:val="nil"/>
              <w:tr2bl w:val="nil"/>
            </w:tcBorders>
            <w:vAlign w:val="center"/>
          </w:tcPr>
          <w:p w14:paraId="2F4F687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1288" w:type="dxa"/>
            <w:tcBorders>
              <w:tl2br w:val="nil"/>
              <w:tr2bl w:val="nil"/>
            </w:tcBorders>
            <w:vAlign w:val="center"/>
          </w:tcPr>
          <w:p w14:paraId="538B4E7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/api/indicator/&lt;id&gt;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31E9F65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单项详情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0122B75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id: 1-24(URL路径)</w:t>
            </w:r>
          </w:p>
        </w:tc>
        <w:tc>
          <w:tcPr>
            <w:tcW w:w="4424" w:type="dxa"/>
            <w:tcBorders>
              <w:tl2br w:val="nil"/>
              <w:tr2bl w:val="nil"/>
            </w:tcBorders>
            <w:vAlign w:val="center"/>
          </w:tcPr>
          <w:p w14:paraId="3C8640F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{id,code,name,unit,weight,actual,target,nationalAvg,completionRate,nationalRate,direction,trend:[{date,value,rate}]}</w:t>
            </w:r>
          </w:p>
        </w:tc>
      </w:tr>
      <w:tr w14:paraId="760E8FA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tcBorders>
              <w:tl2br w:val="nil"/>
              <w:tr2bl w:val="nil"/>
            </w:tcBorders>
            <w:vAlign w:val="center"/>
          </w:tcPr>
          <w:p w14:paraId="30B4597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1288" w:type="dxa"/>
            <w:tcBorders>
              <w:tl2br w:val="nil"/>
              <w:tr2bl w:val="nil"/>
            </w:tcBorders>
            <w:vAlign w:val="center"/>
          </w:tcPr>
          <w:p w14:paraId="0C7744E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/api/comparison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2C4531F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三方对比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55238F8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</w:t>
            </w:r>
          </w:p>
        </w:tc>
        <w:tc>
          <w:tcPr>
            <w:tcW w:w="4424" w:type="dxa"/>
            <w:tcBorders>
              <w:tl2br w:val="nil"/>
              <w:tr2bl w:val="nil"/>
            </w:tcBorders>
            <w:vAlign w:val="center"/>
          </w:tcPr>
          <w:p w14:paraId="42C0AC8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{radar:{dimensions:[],cauc:[],nationalAvg:[],target:[]}, bar:{indicators:[],cauc:[],target:[],nationalAvg:[]}}</w:t>
            </w:r>
          </w:p>
        </w:tc>
      </w:tr>
      <w:tr w14:paraId="0ED3FB6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tcBorders>
              <w:tl2br w:val="nil"/>
              <w:tr2bl w:val="nil"/>
            </w:tcBorders>
            <w:vAlign w:val="center"/>
          </w:tcPr>
          <w:p w14:paraId="3C6DEB3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GET</w:t>
            </w:r>
          </w:p>
        </w:tc>
        <w:tc>
          <w:tcPr>
            <w:tcW w:w="1288" w:type="dxa"/>
            <w:tcBorders>
              <w:tl2br w:val="nil"/>
              <w:tr2bl w:val="nil"/>
            </w:tcBorders>
            <w:vAlign w:val="center"/>
          </w:tcPr>
          <w:p w14:paraId="3A8BFF8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/api/trend/&lt;id&gt;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4E928CB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历史趋势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28E2429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id: 1-24(URL路径)</w:t>
            </w:r>
          </w:p>
        </w:tc>
        <w:tc>
          <w:tcPr>
            <w:tcW w:w="4424" w:type="dxa"/>
            <w:tcBorders>
              <w:tl2br w:val="nil"/>
              <w:tr2bl w:val="nil"/>
            </w:tcBorders>
            <w:vAlign w:val="center"/>
          </w:tcPr>
          <w:p w14:paraId="3818AA2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[{date: str, value: float, rate: float}]</w:t>
            </w:r>
          </w:p>
        </w:tc>
      </w:tr>
      <w:tr w14:paraId="621F945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tcBorders>
              <w:tl2br w:val="nil"/>
              <w:tr2bl w:val="nil"/>
            </w:tcBorders>
            <w:vAlign w:val="center"/>
          </w:tcPr>
          <w:p w14:paraId="17CF8D2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</w:t>
            </w:r>
          </w:p>
        </w:tc>
        <w:tc>
          <w:tcPr>
            <w:tcW w:w="1288" w:type="dxa"/>
            <w:tcBorders>
              <w:tl2br w:val="nil"/>
              <w:tr2bl w:val="nil"/>
            </w:tcBorders>
            <w:vAlign w:val="center"/>
          </w:tcPr>
          <w:p w14:paraId="6378FF3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/api/manual-update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6E8105E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手动更新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2DB147C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JSON:{indicator_id:int,value:float,year:int}</w:t>
            </w:r>
          </w:p>
        </w:tc>
        <w:tc>
          <w:tcPr>
            <w:tcW w:w="4424" w:type="dxa"/>
            <w:tcBorders>
              <w:tl2br w:val="nil"/>
              <w:tr2bl w:val="nil"/>
            </w:tcBorders>
            <w:vAlign w:val="center"/>
          </w:tcPr>
          <w:p w14:paraId="765E6E8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{code:200, msg:"数据更新成功"}</w:t>
            </w:r>
          </w:p>
        </w:tc>
      </w:tr>
      <w:tr w14:paraId="1C8C5E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dxa"/>
            <w:tcBorders>
              <w:tl2br w:val="nil"/>
              <w:tr2bl w:val="nil"/>
            </w:tcBorders>
            <w:vAlign w:val="center"/>
          </w:tcPr>
          <w:p w14:paraId="2E86624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</w:t>
            </w:r>
          </w:p>
        </w:tc>
        <w:tc>
          <w:tcPr>
            <w:tcW w:w="1288" w:type="dxa"/>
            <w:tcBorders>
              <w:tl2br w:val="nil"/>
              <w:tr2bl w:val="nil"/>
            </w:tcBorders>
            <w:vAlign w:val="center"/>
          </w:tcPr>
          <w:p w14:paraId="2B28FF2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/api/snapshot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7149A43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触发快照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4259F8D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</w:t>
            </w:r>
          </w:p>
        </w:tc>
        <w:tc>
          <w:tcPr>
            <w:tcW w:w="4424" w:type="dxa"/>
            <w:tcBorders>
              <w:tl2br w:val="nil"/>
              <w:tr2bl w:val="nil"/>
            </w:tcBorders>
            <w:vAlign w:val="center"/>
          </w:tcPr>
          <w:p w14:paraId="3325047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{code:200, data:{snapshot:{status,date}, summary:{status,date}}}</w:t>
            </w:r>
          </w:p>
        </w:tc>
      </w:tr>
    </w:tbl>
    <w:p w14:paraId="07EBD0E4">
      <w:pPr>
        <w:pStyle w:val="5"/>
        <w:bidi w:val="0"/>
        <w:rPr>
          <w:rFonts w:hint="eastAsia"/>
        </w:rPr>
      </w:pPr>
      <w:bookmarkStart w:id="17" w:name="_Toc11380"/>
      <w:r>
        <w:rPr>
          <w:rFonts w:hint="eastAsia"/>
        </w:rPr>
        <w:t>4.2 返回数据格式规范</w:t>
      </w:r>
      <w:bookmarkEnd w:id="17"/>
    </w:p>
    <w:p w14:paraId="6E761B1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所有接口统一返回格式：{"code": 200, "data": {业务数据}} 表示成功；{"code": 500, "msg": "错误描述"} 表示服务端异常。前端通过code字段判断请求是否成功。data字段中的浮点数根据页面需要保留1位或2位小数。</w:t>
      </w:r>
    </w:p>
    <w:p w14:paraId="18DFB94A">
      <w:pPr>
        <w:pStyle w:val="5"/>
        <w:bidi w:val="0"/>
        <w:rPr>
          <w:rFonts w:hint="eastAsia"/>
        </w:rPr>
      </w:pPr>
      <w:bookmarkStart w:id="18" w:name="_Toc25851"/>
      <w:r>
        <w:rPr>
          <w:rFonts w:hint="eastAsia"/>
        </w:rPr>
        <w:t>4.3 核心完成度计算逻辑</w:t>
      </w:r>
      <w:bookmarkEnd w:id="18"/>
    </w:p>
    <w:p w14:paraId="4B62CB5A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完成度计算是系统最核心的数学逻辑，需确保所有API使用相同的公式：</w:t>
      </w:r>
    </w:p>
    <w:p w14:paraId="71E168E2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# 对于 Direction = "up" 的指标（数值越高越好）</w:t>
      </w:r>
    </w:p>
    <w:p w14:paraId="658A7CA2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completion_rate = min(actual_value / target_value * 100, 100)</w:t>
      </w:r>
    </w:p>
    <w:p w14:paraId="06BF1814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541" w:afterLines="1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national_rate   = min(national_avg / target_value * 100, 100)</w:t>
      </w:r>
    </w:p>
    <w:p w14:paraId="15F9ED1A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# 对于 Direction = "down" 的指标（数值越低越好，如生师比）</w:t>
      </w:r>
    </w:p>
    <w:p w14:paraId="634D32CD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completion_rate = min(target_value / actual_value * 100, 100)</w:t>
      </w:r>
    </w:p>
    <w:p w14:paraId="30A8C0C3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541" w:afterLines="1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national_rate   = min(national_avg / actual_value * 100, 100)</w:t>
      </w:r>
    </w:p>
    <w:p w14:paraId="7405091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# 分类完成度（加权平均）</w:t>
      </w:r>
    </w:p>
    <w:p w14:paraId="68982D6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541" w:afterLines="1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category_rate = SUM(completion_rate_i * weight_i) / SUM(weight_i)</w:t>
      </w:r>
    </w:p>
    <w:p w14:paraId="032D0262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# 综合完成度（各分类完成度按该类权重之和加权平均）</w:t>
      </w:r>
    </w:p>
    <w:p w14:paraId="7CDD4DD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541" w:afterLines="150" w:line="400" w:lineRule="exact"/>
        <w:ind w:firstLine="480"/>
        <w:jc w:val="both"/>
        <w:textAlignment w:val="auto"/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1"/>
          <w:szCs w:val="18"/>
          <w:lang w:val="en-US" w:eastAsia="zh-CN"/>
          <w14:ligatures w14:val="standardContextual"/>
        </w:rPr>
        <w:t>overall_rate = SUM(category_rate_j * SUM(weight_j)) / SUM(all_weights)</w:t>
      </w:r>
    </w:p>
    <w:p w14:paraId="765B61A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完成度上限为100%（使用min函数封顶）。分类完成度为该分类下全部指标按各自权重加权平均。综合完成度为各分类完成度按该分类权重之和加权平均。</w:t>
      </w:r>
    </w:p>
    <w:p w14:paraId="57C885C5">
      <w:pPr>
        <w:pStyle w:val="5"/>
        <w:bidi w:val="0"/>
        <w:rPr>
          <w:rFonts w:hint="eastAsia"/>
        </w:rPr>
      </w:pPr>
      <w:bookmarkStart w:id="19" w:name="_Toc6943"/>
      <w:r>
        <w:rPr>
          <w:rFonts w:hint="eastAsia"/>
        </w:rPr>
        <w:t>4.4 错误处理设计</w:t>
      </w:r>
      <w:bookmarkEnd w:id="19"/>
    </w:p>
    <w:p w14:paraId="0369BD21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所有API接口均包裹在try-except中。数据库连接异常时，返回500错误码和具体的异常信息。前端接收流程：wx.request成功且res.data.code===200时，resolve(res.data.data)取业务数据；否则reject(res.data.msg)。reject被页面catch捕获后，页面setData({error:true})展示错误状态组件（红色感叹号图标+错误描述+重试按钮），不展示任何硬编码的模拟数据。</w:t>
      </w:r>
    </w:p>
    <w:p w14:paraId="7BD779C6">
      <w:pPr>
        <w:pStyle w:val="5"/>
        <w:bidi w:val="0"/>
        <w:rPr>
          <w:rFonts w:hint="eastAsia"/>
        </w:rPr>
      </w:pPr>
      <w:bookmarkStart w:id="20" w:name="_Toc23421"/>
      <w:r>
        <w:rPr>
          <w:rFonts w:hint="eastAsia"/>
        </w:rPr>
        <w:t>4.5 手动更新接口详细说明</w:t>
      </w:r>
      <w:bookmarkEnd w:id="20"/>
    </w:p>
    <w:p w14:paraId="774A3D7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POST /api/manual-update 用于在获取到新的中航大公开数据后，手动将指标实际值写入数据库。请求JSON格式示例：{"indicator_id": 1, "value": 9, "year": 2025}。接口在CAUCData表中插入一条新记录（IsManual=1），而非覆盖已有记录。前端拉取最新数据时自动获取已更新值。</w:t>
      </w:r>
    </w:p>
    <w:p w14:paraId="76696054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POST /api/snapshot 用于手动触发全量快照生成（调用services/update_service.py的full_update_cycle函数）。返回生成的快照数和汇总数。</w:t>
      </w:r>
    </w:p>
    <w:p w14:paraId="43A5C219">
      <w:r>
        <w:br w:type="page"/>
      </w:r>
    </w:p>
    <w:p w14:paraId="5554FEAF">
      <w:pPr>
        <w:pStyle w:val="3"/>
        <w:bidi w:val="0"/>
        <w:rPr>
          <w:rFonts w:hint="eastAsia"/>
          <w:lang w:val="en-US" w:eastAsia="zh-CN"/>
        </w:rPr>
      </w:pPr>
      <w:bookmarkStart w:id="21" w:name="_Toc11320"/>
      <w:r>
        <w:rPr>
          <w:rFonts w:hint="eastAsia"/>
          <w:lang w:val="en-US" w:eastAsia="zh-CN"/>
        </w:rPr>
        <w:t>第五章  前端设计</w:t>
      </w:r>
      <w:bookmarkEnd w:id="21"/>
    </w:p>
    <w:p w14:paraId="00A251FB">
      <w:pPr>
        <w:pStyle w:val="5"/>
        <w:bidi w:val="0"/>
        <w:rPr>
          <w:rFonts w:hint="eastAsia"/>
          <w:lang w:eastAsia="zh-CN"/>
        </w:rPr>
      </w:pPr>
      <w:bookmarkStart w:id="22" w:name="_Toc5620"/>
      <w:r>
        <w:rPr>
          <w:rFonts w:hint="eastAsia"/>
          <w:lang w:eastAsia="zh-CN"/>
        </w:rPr>
        <w:t>5.1 页面导航结构</w:t>
      </w:r>
      <w:bookmarkEnd w:id="22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879"/>
        <w:gridCol w:w="2160"/>
        <w:gridCol w:w="1870"/>
        <w:gridCol w:w="1864"/>
      </w:tblGrid>
      <w:tr w14:paraId="38EC6C9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ABB3AA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页面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27B6E2C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路径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239C78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入口方式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758718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跳转方法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126C1A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核心展示元素</w:t>
            </w:r>
          </w:p>
        </w:tc>
      </w:tr>
      <w:tr w14:paraId="2CA6AA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7C51A1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首页·综合概览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6CEC347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pages/index/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DCA5F6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底部Tab第1项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24E01E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4CF68D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深蓝渐变标题栏+校徽/Canvas环形进度条/五大维度横向满宽卡片/学校名片横幅/"查看对标对比"按钮</w:t>
            </w:r>
          </w:p>
        </w:tc>
      </w:tr>
      <w:tr w14:paraId="162C318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244E86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分类指标详情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A8BF3F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pages/category/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F1DE50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底部Tab第2项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首页卡片点击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6E90552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wx.switchTab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(无参，通过globalData传分类ID)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E534C5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顶部横向滚动Tab(5类)/分类完成度统计头/指标卡片列表（三值对比+双层进度条+箭头→）</w:t>
            </w:r>
          </w:p>
        </w:tc>
      </w:tr>
      <w:tr w14:paraId="311B0E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1810FBC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对标对比分析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DE985F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pages/comparison/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41609A4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底部Tab第3项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首页按钮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7C4595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wx.switchTab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49A5EB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三数字综合统计/Canvas五维雷达图（三线叠加+图例）/24项comparison-bar柱状对比列表</w:t>
            </w:r>
          </w:p>
        </w:tc>
      </w:tr>
      <w:tr w14:paraId="70F6352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74C5F4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单项指标详情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5D022BD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pages/detail/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6205BA0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分类卡片点击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/components/indicator-card绑定事件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6FC5A08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wx.navigateTo</w:t>
            </w:r>
          </w:p>
          <w:p w14:paraId="5082644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?id=indicatorId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2C460D8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指标编号+名称+权重/Canvas环形图+三值对比区/差距分析双进度条/Canvas历史趋势折线图/等级评定徽章</w:t>
            </w:r>
          </w:p>
        </w:tc>
      </w:tr>
    </w:tbl>
    <w:p w14:paraId="42EA2A7A">
      <w:pPr>
        <w:pStyle w:val="5"/>
        <w:bidi w:val="0"/>
        <w:rPr>
          <w:rFonts w:hint="eastAsia"/>
        </w:rPr>
      </w:pPr>
      <w:bookmarkStart w:id="23" w:name="_Toc20644"/>
      <w:r>
        <w:rPr>
          <w:rFonts w:hint="eastAsia"/>
        </w:rPr>
        <w:t>5.2 首页详细设计</w:t>
      </w:r>
      <w:bookmarkEnd w:id="23"/>
    </w:p>
    <w:p w14:paraId="778C6E47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布局自上而下分为五个区块：</w:t>
      </w:r>
    </w:p>
    <w:p w14:paraId="0935D01F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标题栏（header-card）：深蓝渐变背景（#1A3A5C→#2D5F8A→#1A5276），flex横向排列。左侧为校徽图片（96rpx圆形，mode=aspectFill居中裁剪），右侧为校名（40rpx白色粗体）+英文名（20rpx半透明）+副标题（26rpx）。</w:t>
      </w:r>
    </w:p>
    <w:p w14:paraId="25ABD8B1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综合完成度环形图（overview-card）：白色圆角卡片。Canvas绘制环形进度条（340rpx正方形画布，背景弧浅灰色#E8ECF0，进度弧四色阶梯，线宽12rpx）。环形中央叠加大号百分比数字（72rpx粗体）+百分号+标签文字。下方两色圆点图例（蓝色=本校达成度，绿色=目标线）。</w:t>
      </w:r>
    </w:p>
    <w:p w14:paraId="2091AA20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各维度完成度标题（section-title）：30rpx粗体分隔文字。</w:t>
      </w:r>
    </w:p>
    <w:p w14:paraId="13CD0BE6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五大维度卡片（category-list）：纵向排列5张横向卡片。每张卡片flex横向：左侧80rpx圆角图标（柔色背景+emoji）+右侧flex:1内容区。内容区自上而下：名称+百分比（两端对齐）/ 进度条（底色#F0F0F0，填充色随达成度四色）/ 底行（全国均值达成度+箭头→）。点击整张卡片跳转分类详情。</w:t>
      </w:r>
    </w:p>
    <w:p w14:paraId="464A33C6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学校名片横幅（school-banner）：飞机emoji+校名+校训+双一流标签。浅蓝渐变背景，圆角16rpx。</w:t>
      </w:r>
    </w:p>
    <w:p w14:paraId="2201094A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底部操作按钮（btn-primary）："查看详细对标对比→"，点击wx.switchTab跳转comparison页。</w:t>
      </w:r>
    </w:p>
    <w:p w14:paraId="4B444829">
      <w:pPr>
        <w:pStyle w:val="5"/>
        <w:bidi w:val="0"/>
        <w:rPr>
          <w:rFonts w:hint="eastAsia"/>
        </w:rPr>
      </w:pPr>
      <w:bookmarkStart w:id="24" w:name="_Toc21979"/>
      <w:r>
        <w:rPr>
          <w:rFonts w:hint="eastAsia"/>
        </w:rPr>
        <w:t>5.3 分类详情页详细设计</w:t>
      </w:r>
      <w:bookmarkEnd w:id="24"/>
    </w:p>
    <w:p w14:paraId="462F833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顶部为分类头部（蓝紫渐变背景，展示当前分类名+完成度百分比+全国均值达成度百分比，中间竖线分隔）。下方为横向滚动Tab栏（白色圆角卡片，5个tab-item：人才培养/师资队伍/科研成果/社会服务/国际化。active态文字变蓝加粗，底部4rpx蓝色指示条）。Tab栏下方为指标卡片列表。每张指标卡片展示：指标编号+名称（左）/+三项数值（本校实际值/目标值/全国均值，纵向排列，本校值大号加粗彩色）+双层进度条（上层蓝色=本校完成度，下层橙色=全国均值达成度）。点击卡片wx.navigateTo跳转单项详情页，传入indicatorId。</w:t>
      </w:r>
    </w:p>
    <w:p w14:paraId="723F0B21">
      <w:pPr>
        <w:pStyle w:val="5"/>
        <w:bidi w:val="0"/>
        <w:rPr>
          <w:rFonts w:hint="eastAsia"/>
        </w:rPr>
      </w:pPr>
      <w:bookmarkStart w:id="25" w:name="_Toc3982"/>
      <w:r>
        <w:rPr>
          <w:rFonts w:hint="eastAsia"/>
        </w:rPr>
        <w:t>5.4 对标对比页详细设计</w:t>
      </w:r>
      <w:bookmarkEnd w:id="25"/>
    </w:p>
    <w:p w14:paraId="1230CFAA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顶部三数字统计区（flex横向均分）：本校综合达成度（蓝色大号数字）、全国均值达成度（橙色大号数字）、双一流目标（绿色大号数字），竖线分隔。下方Canvas雷达图区（340rpx正方形画布，五边形网格背景，三条数据多边形：本校蓝实线+半透明填充、全国均值橙实线+半透明填充、目标绿虚线+微填充，各顶点绘制3rpx圆点，外侧标注维度名）。雷达图下方三色图例（蓝色=本校/橙色=全国均值/绿色虚线=目标）。再下方为24项comparison-bar组件列表。</w:t>
      </w:r>
    </w:p>
    <w:p w14:paraId="5AE1EF41">
      <w:pPr>
        <w:pStyle w:val="5"/>
        <w:bidi w:val="0"/>
        <w:rPr>
          <w:rFonts w:hint="eastAsia"/>
        </w:rPr>
      </w:pPr>
      <w:bookmarkStart w:id="26" w:name="_Toc2785"/>
      <w:r>
        <w:rPr>
          <w:rFonts w:hint="eastAsia"/>
        </w:rPr>
        <w:t>5.5 单项详情页详细设计</w:t>
      </w:r>
      <w:bookmarkEnd w:id="26"/>
    </w:p>
    <w:p w14:paraId="67A93AE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顶部信息区：指标编号徽章（蓝底白字）+指标全称（34rpx粗体）+元信息行（单位+权重+方向）。核心数据区（flex横向两栏）：左侧240rpx Canvas环形完成度图（90rpx直径环，背景#E8ECF0+四色进度弧，中央叠加大号完成度百分比），右侧三色圆点信息列（蓝色=本校实际值、绿色=目标值、橙色=全国均值，每行展示标签+数值+单位）。下方差距分析区：两条水平进度条（实际值vs目标值、实际值vs全国均值），进度条右侧标注差值。再下方Canvas折线图区：历史趋势数据点连线，日期标注在X轴下方，数值标注在数据点上方。最后等级评定区：根据完成度四色阶梯评定（优秀≥90%/良好≥70%/中等≥50%/薄弱&lt;50%），展示对应颜色的评定标题和描述文字。</w:t>
      </w:r>
    </w:p>
    <w:p w14:paraId="37B1AD9E">
      <w:pPr>
        <w:pStyle w:val="5"/>
        <w:bidi w:val="0"/>
        <w:rPr>
          <w:rFonts w:hint="eastAsia"/>
        </w:rPr>
      </w:pPr>
      <w:bookmarkStart w:id="27" w:name="_Toc21075"/>
      <w:r>
        <w:rPr>
          <w:rFonts w:hint="eastAsia"/>
        </w:rPr>
        <w:t>5.6 组件接口定义</w:t>
      </w:r>
      <w:bookmarkEnd w:id="27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014"/>
        <w:gridCol w:w="938"/>
        <w:gridCol w:w="655"/>
        <w:gridCol w:w="851"/>
        <w:gridCol w:w="5067"/>
      </w:tblGrid>
      <w:tr w14:paraId="325004C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6080388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组件名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7E55232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属性名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5817AE7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类型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002F3FC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必填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5D39419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默认值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72D8214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2C0CB49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07A9248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progress-ring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2B7844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percent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3DD1356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Number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3679D0F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6163E93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76004AD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完成度百分比(0-100)</w:t>
            </w:r>
          </w:p>
        </w:tc>
      </w:tr>
      <w:tr w14:paraId="4894DBF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2AF014D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progress-ring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764D4A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size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4142DD0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Number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108DF7B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6DF4858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340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5BB0FE3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Canvas尺寸(rpx)</w:t>
            </w:r>
          </w:p>
        </w:tc>
      </w:tr>
      <w:tr w14:paraId="2724DB7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359CC16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progress-ring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165DEAB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strokeWidth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0302487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Number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195CFA4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40E4D52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042D14F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环线宽(rpx)</w:t>
            </w:r>
          </w:p>
        </w:tc>
      </w:tr>
      <w:tr w14:paraId="586EEF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6C475E4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progress-ring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B53647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color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4E571E2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54DE0EF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27C91F1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#2D6CDF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5DF7F03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进度弧颜色</w:t>
            </w:r>
          </w:p>
        </w:tc>
      </w:tr>
      <w:tr w14:paraId="611BF9A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6B0E586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indicator-card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22976A4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68A7E6A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Object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66E2A43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78DBB36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0EB312D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含code,name,actual,target,nationalAvg,unit,completionRate,nationalRate</w:t>
            </w:r>
          </w:p>
        </w:tc>
      </w:tr>
      <w:tr w14:paraId="1C0F8F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6E5A9C5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indicator-card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890483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showDetail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0C7B4F1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Boolean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010D926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5C0528B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true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14A6663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是否显示详情入口</w:t>
            </w:r>
          </w:p>
        </w:tc>
      </w:tr>
      <w:tr w14:paraId="2CF3E3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28DA2D7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comparison-bar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7416E9A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label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3FF6334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0189A3A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6E79BC9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3F657C1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指标名称</w:t>
            </w:r>
          </w:p>
        </w:tc>
      </w:tr>
      <w:tr w14:paraId="24DEFCD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5A50BFB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comparison-bar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78FFF8E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caucValue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0D40D4B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Number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4A0F242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1F37FFC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19F81C5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本校达成率(%)</w:t>
            </w:r>
          </w:p>
        </w:tc>
      </w:tr>
      <w:tr w14:paraId="7D89A9C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55C9AE7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comparison-bar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A24116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nationalValue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7440CA0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Number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0901D82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2A7E636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52F4447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全国均值达成率(%)</w:t>
            </w:r>
          </w:p>
        </w:tc>
      </w:tr>
      <w:tr w14:paraId="3C84C36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0AEA6BD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comparison-bar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FEB354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targetValue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10AF98F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Number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33D0D01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4685D76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38D85F0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目标线值(始终传100)</w:t>
            </w:r>
          </w:p>
        </w:tc>
      </w:tr>
      <w:tr w14:paraId="18497BC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7" w:type="dxa"/>
            <w:tcBorders>
              <w:tl2br w:val="nil"/>
              <w:tr2bl w:val="nil"/>
            </w:tcBorders>
            <w:vAlign w:val="center"/>
          </w:tcPr>
          <w:p w14:paraId="15D38A8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comparison-bar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2943CE7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maxValue</w:t>
            </w:r>
          </w:p>
        </w:tc>
        <w:tc>
          <w:tcPr>
            <w:tcW w:w="938" w:type="dxa"/>
            <w:tcBorders>
              <w:tl2br w:val="nil"/>
              <w:tr2bl w:val="nil"/>
            </w:tcBorders>
            <w:vAlign w:val="center"/>
          </w:tcPr>
          <w:p w14:paraId="4F6C8E6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Number</w:t>
            </w:r>
          </w:p>
        </w:tc>
        <w:tc>
          <w:tcPr>
            <w:tcW w:w="655" w:type="dxa"/>
            <w:tcBorders>
              <w:tl2br w:val="nil"/>
              <w:tr2bl w:val="nil"/>
            </w:tcBorders>
            <w:vAlign w:val="center"/>
          </w:tcPr>
          <w:p w14:paraId="19E74DC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55FEC4B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5067" w:type="dxa"/>
            <w:tcBorders>
              <w:tl2br w:val="nil"/>
              <w:tr2bl w:val="nil"/>
            </w:tcBorders>
            <w:vAlign w:val="center"/>
          </w:tcPr>
          <w:p w14:paraId="588D45F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柱状图最大值</w:t>
            </w:r>
          </w:p>
        </w:tc>
      </w:tr>
    </w:tbl>
    <w:p w14:paraId="2835C6F0"/>
    <w:p w14:paraId="1D242BE7">
      <w:r>
        <w:br w:type="page"/>
      </w:r>
    </w:p>
    <w:p w14:paraId="08CC0948">
      <w:pPr>
        <w:pStyle w:val="3"/>
        <w:bidi w:val="0"/>
        <w:rPr>
          <w:rFonts w:hint="eastAsia"/>
          <w:lang w:val="en-US" w:eastAsia="zh-CN"/>
        </w:rPr>
      </w:pPr>
      <w:bookmarkStart w:id="28" w:name="_Toc30641"/>
      <w:r>
        <w:rPr>
          <w:rFonts w:hint="eastAsia"/>
          <w:lang w:val="en-US" w:eastAsia="zh-CN"/>
        </w:rPr>
        <w:t>第六章  爬虫与数据采集设计</w:t>
      </w:r>
      <w:bookmarkEnd w:id="28"/>
    </w:p>
    <w:p w14:paraId="67EB0E57">
      <w:pPr>
        <w:pStyle w:val="5"/>
        <w:bidi w:val="0"/>
        <w:rPr>
          <w:rFonts w:hint="eastAsia"/>
        </w:rPr>
      </w:pPr>
      <w:bookmarkStart w:id="29" w:name="_Toc23721"/>
      <w:r>
        <w:rPr>
          <w:rFonts w:hint="eastAsia"/>
        </w:rPr>
        <w:t>6.1 设计原则</w:t>
      </w:r>
      <w:bookmarkEnd w:id="29"/>
    </w:p>
    <w:p w14:paraId="3C5E3F10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只抓官方公开数据：第一版仅使用中国民航大学官网主站及其公开二级栏目，不纳入需登录的内部系统</w:t>
      </w:r>
    </w:p>
    <w:p w14:paraId="256F69EF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先抓核心指标：优先实现24项指标中已有明确来源页面的指标，不一次性扩展到模糊数据</w:t>
      </w:r>
    </w:p>
    <w:p w14:paraId="4DDDAB10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区分页面类型：将来源页面分为总量型页面（学校简介、招生简章）、新闻列表/详情页（新闻网）、系统入口页三类，分别采用不同抓取策略</w:t>
      </w:r>
    </w:p>
    <w:p w14:paraId="049931EB">
      <w:pPr>
        <w:pStyle w:val="16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自动抓取与人工校对结合：对新闻类页面先自动抓标题+日期+正文，再通过关键词提取关键数字，必要时人工校对后标记IsManual=1</w:t>
      </w:r>
    </w:p>
    <w:p w14:paraId="40A04B67">
      <w:pPr>
        <w:pStyle w:val="5"/>
        <w:bidi w:val="0"/>
        <w:rPr>
          <w:rFonts w:hint="eastAsia"/>
        </w:rPr>
      </w:pPr>
      <w:bookmarkStart w:id="30" w:name="_Toc5625"/>
      <w:r>
        <w:rPr>
          <w:rFonts w:hint="eastAsia"/>
        </w:rPr>
        <w:t>6.2 优先抓取页面清单</w:t>
      </w:r>
      <w:bookmarkEnd w:id="30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600"/>
        <w:gridCol w:w="1728"/>
        <w:gridCol w:w="1750"/>
        <w:gridCol w:w="1816"/>
      </w:tblGrid>
      <w:tr w14:paraId="6819FD0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0725E1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优先页面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5175DA9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URL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CADAF4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页面类型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5F3266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主要用途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8FEBC8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抓取内容</w:t>
            </w:r>
          </w:p>
        </w:tc>
      </w:tr>
      <w:tr w14:paraId="071B5AC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623A91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学校首页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5B96ADB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6145ADA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新闻列表页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57D65B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获取最新新闻标题、链接和发布日期；提取竞赛获奖、科研平台等新闻中的关键数字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00BD78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新闻标题+链接+日期+正文摘要</w:t>
            </w:r>
          </w:p>
        </w:tc>
      </w:tr>
      <w:tr w14:paraId="2F9699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185BE6A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招生信息网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EBD371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www.cauc.edu.cn/zsb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1205269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总量型页面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A1BB0C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获取招生简章中的在校生规模、留学生人数、教师规模等总量数据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538D86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招生政策解读PDF/HTML正文</w:t>
            </w:r>
          </w:p>
        </w:tc>
      </w:tr>
      <w:tr w14:paraId="7701429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59BFC9E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教务处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2AAC644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www.cauc.edu.cn/jwc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2B00BF6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总量型页面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E15A7A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获取一流专业、一流课程认定名单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1C898D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专业建设/课程建设栏目文字</w:t>
            </w:r>
          </w:p>
        </w:tc>
      </w:tr>
      <w:tr w14:paraId="17EDAA4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B19076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科技处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0209DC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www.cauc.edu.cn/kxyj.htm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1A712F9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总量型页面+新闻页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96820D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获取科研平台、科研项目、科技成果转化信息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042007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栏目文字+新闻列表</w:t>
            </w:r>
          </w:p>
        </w:tc>
      </w:tr>
      <w:tr w14:paraId="1A15F75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7B76480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信息公开网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531B9AC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www.cauc.edu.cn/xxgk2018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36668BB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总量型页面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D87E56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获取预算决算、教学质量报告等结构化数据</w:t>
            </w:r>
          </w:p>
        </w:tc>
        <w:tc>
          <w:tcPr>
            <w:tcW w:w="1881" w:type="dxa"/>
            <w:tcBorders>
              <w:tl2br w:val="nil"/>
              <w:tr2bl w:val="nil"/>
            </w:tcBorders>
            <w:vAlign w:val="center"/>
          </w:tcPr>
          <w:p w14:paraId="07A76EA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公开报告PDF/HTML</w:t>
            </w:r>
          </w:p>
        </w:tc>
      </w:tr>
    </w:tbl>
    <w:p w14:paraId="6B65E102">
      <w:pPr>
        <w:pStyle w:val="5"/>
        <w:bidi w:val="0"/>
        <w:rPr>
          <w:rFonts w:hint="eastAsia"/>
        </w:rPr>
      </w:pPr>
      <w:bookmarkStart w:id="31" w:name="_Toc15124"/>
      <w:r>
        <w:rPr>
          <w:rFonts w:hint="eastAsia"/>
        </w:rPr>
        <w:t>6.3 爬虫技术实现</w:t>
      </w:r>
      <w:bookmarkEnd w:id="31"/>
    </w:p>
    <w:p w14:paraId="04E4F750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HTTP请求层：使用requests.Session维持会话，设置User-Agent为Chrome 120 Windows版，Accept-Language为zh-CN。每次请求间隔≥2秒（time.sleep(2)），避免触发CDN限流。请求超时设为15秒。当前中国民航大学首页可稳定返回200，部分子页面因CDN WAF防护返回504，后续需研究请求头模拟或代理IP方案。</w:t>
      </w:r>
    </w:p>
    <w:p w14:paraId="3D5E4B4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HTML解析层：使用BeautifulSoup4配合lxml解析器。对于新闻列表页（首页）：定位新闻列表容器→遍历li/a标签→提取标题文本、链接href、日期文本→逐条访问详情页→提取正文p标签文本。对于总量型页面（招生简章等）：定位正文容器div→提取全部p标签文本→正则匹配数字+关键词。</w:t>
      </w:r>
    </w:p>
    <w:p w14:paraId="18911B9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数据提取层：regex关键词匹配。"专任教师[约]?\s*(\d[\d,]*)\s*余?人"提取教师数；"在校生[约]?\s*(\d[\d,]*)\s*万?余?人"提取学生数；"博士[点|学位授权点].*?(\d+)\s*个"提取博士点数等。</w:t>
      </w:r>
    </w:p>
    <w:p w14:paraId="53F7F75C">
      <w:pPr>
        <w:pStyle w:val="5"/>
        <w:bidi w:val="0"/>
        <w:rPr>
          <w:rFonts w:hint="eastAsia"/>
        </w:rPr>
      </w:pPr>
      <w:bookmarkStart w:id="32" w:name="_Toc31632"/>
      <w:r>
        <w:rPr>
          <w:rFonts w:hint="eastAsia"/>
        </w:rPr>
        <w:t>6.4 人工采集补充</w:t>
      </w:r>
      <w:bookmarkEnd w:id="32"/>
    </w:p>
    <w:p w14:paraId="5128A6A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对于无法自动抓取的双一流对比数据和其他高校数据，通过以下渠道人工采集后录入Python脚本：百度百科（词条基本信息）、教育部公示名单（双万计划、学位授权）、软科排名/青塔统计（人才、师资）、Nature Index/ESI（论文）、NSFC年报（基金立项）。采集结果录入seed_cauc_data.py和seed_benchmarks.py，每条标注来源URL和可信度等级。</w:t>
      </w:r>
    </w:p>
    <w:p w14:paraId="3B263AF8">
      <w:r>
        <w:br w:type="page"/>
      </w:r>
    </w:p>
    <w:p w14:paraId="792C0015">
      <w:pPr>
        <w:pStyle w:val="3"/>
        <w:bidi w:val="0"/>
        <w:rPr>
          <w:rFonts w:hint="eastAsia"/>
          <w:lang w:val="en-US" w:eastAsia="zh-CN"/>
        </w:rPr>
      </w:pPr>
      <w:bookmarkStart w:id="33" w:name="_Toc487"/>
      <w:r>
        <w:rPr>
          <w:rFonts w:hint="eastAsia"/>
          <w:lang w:val="en-US" w:eastAsia="zh-CN"/>
        </w:rPr>
        <w:t>第七章  定时调度与数据更新设计</w:t>
      </w:r>
      <w:bookmarkEnd w:id="33"/>
    </w:p>
    <w:p w14:paraId="7E3CFD0C">
      <w:pPr>
        <w:pStyle w:val="5"/>
        <w:bidi w:val="0"/>
        <w:rPr>
          <w:rFonts w:hint="eastAsia"/>
        </w:rPr>
      </w:pPr>
      <w:bookmarkStart w:id="34" w:name="_Toc20975"/>
      <w:r>
        <w:rPr>
          <w:rFonts w:hint="eastAsia"/>
        </w:rPr>
        <w:t>7.1 APScheduler配置</w:t>
      </w:r>
      <w:bookmarkEnd w:id="34"/>
    </w:p>
    <w:p w14:paraId="7EF736B1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使用APScheduler的BackgroundScheduler，在Flask应用工厂函数create_app()返回的app对象上初始化。调度器运行在后台线程中，不阻塞主Flask进程的HTTP请求处理。</w:t>
      </w:r>
    </w:p>
    <w:p w14:paraId="1BF6983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from apscheduler.schedulers.background import BackgroundScheduler</w:t>
      </w:r>
    </w:p>
    <w:p w14:paraId="6E024B7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scheduler = BackgroundScheduler()</w:t>
      </w:r>
    </w:p>
    <w:p w14:paraId="690D2271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def init_scheduler(app):</w:t>
      </w:r>
    </w:p>
    <w:p w14:paraId="70E36023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# 任务1: 每6小时爬取新闻</w:t>
      </w:r>
    </w:p>
    <w:p w14:paraId="5137687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scheduler.add_job(daily_crawl, "interval", hours=6, id="cauc_crawl")</w:t>
      </w:r>
    </w:p>
    <w:p w14:paraId="0807E68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# 任务2: 每月1日03:17生成快照</w:t>
      </w:r>
    </w:p>
    <w:p w14:paraId="089C099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scheduler.add_job(monthly_snapshot, "cron", day=1, hour=3, minute=17, id="monthly_snapshot")</w:t>
      </w:r>
    </w:p>
    <w:p w14:paraId="75C663D2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# 任务3: 启动时立即检查并生成今日快照</w:t>
      </w:r>
    </w:p>
    <w:p w14:paraId="7C8A8E7A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with app.app_context():</w:t>
      </w:r>
    </w:p>
    <w:p w14:paraId="23659E7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    generate_snapshot()  # 已存在则skip</w:t>
      </w:r>
    </w:p>
    <w:p w14:paraId="091DD51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scheduler.start()</w:t>
      </w:r>
    </w:p>
    <w:p w14:paraId="3F1E83C4">
      <w:pPr>
        <w:pStyle w:val="5"/>
        <w:bidi w:val="0"/>
        <w:rPr>
          <w:rFonts w:hint="eastAsia"/>
        </w:rPr>
      </w:pPr>
      <w:bookmarkStart w:id="35" w:name="_Toc18784"/>
      <w:r>
        <w:rPr>
          <w:rFonts w:hint="eastAsia"/>
        </w:rPr>
        <w:t>7.2 快照生成流程</w:t>
      </w:r>
      <w:bookmarkEnd w:id="35"/>
    </w:p>
    <w:p w14:paraId="01582AA0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generate_snapshot()：查询当天是否已有快照（DataSnapshot表中SnapshotDate=today），有则跳过。否则遍历24项指标 → 对每项取最新CAUCData → 计算当前完成度 → INSERT INTO DataSnapshot。</w:t>
      </w:r>
    </w:p>
    <w:p w14:paraId="0F3D0AE3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generate_completion_summary()：遍历5个CategoryID → 查询该分类下全部指标 → 加权计算该分类完成度和全国均值达成度 → INSERT INTO CompletionSummary。</w:t>
      </w:r>
    </w:p>
    <w:p w14:paraId="389E186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设计理由：每月1日固定生成快照，确保趋势图按月粒度延展。凌晨03:17执行，选择非整点分钟避开与其他定时任务的资源竞争。启动快照确保每次重启后数据库至少有一份当前快照。</w:t>
      </w:r>
    </w:p>
    <w:p w14:paraId="0D5CF4C9">
      <w:pPr>
        <w:pStyle w:val="5"/>
        <w:bidi w:val="0"/>
        <w:rPr>
          <w:rFonts w:hint="eastAsia"/>
        </w:rPr>
      </w:pPr>
      <w:bookmarkStart w:id="36" w:name="_Toc14941"/>
      <w:r>
        <w:rPr>
          <w:rFonts w:hint="eastAsia"/>
        </w:rPr>
        <w:t>7.3 更新频率建议</w:t>
      </w:r>
      <w:bookmarkEnd w:id="36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2296F1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0E412AF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数据类型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6E75E31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更新频率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27D4A81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更新方式</w:t>
            </w:r>
          </w:p>
        </w:tc>
      </w:tr>
      <w:tr w14:paraId="410AE59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0FB3A51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学校概况数据（教师、学生、学位点）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684260E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每学期/年更新1次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3AB665C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手动: 查阅最新招生简章后POST /api/manual-update</w:t>
            </w:r>
          </w:p>
        </w:tc>
      </w:tr>
      <w:tr w14:paraId="09FB08A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7891FBC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一流专业、一流课程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0B2B99D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每学年更新1次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68F2DE2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手动:教育部公布新一批认定后更新</w:t>
            </w:r>
          </w:p>
        </w:tc>
      </w:tr>
      <w:tr w14:paraId="130D3FB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674109A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竞赛获奖、科研新闻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4B5E006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每周自动爬取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690C86A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自动:调度器6h爬取首页新闻，关键词提取</w:t>
            </w:r>
          </w:p>
        </w:tc>
      </w:tr>
      <w:tr w14:paraId="6D43594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00ABC3E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科研项目、专利、成果转化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19F7BEE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每月更新1次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617AC67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手动+自动:新闻关键词+年度报告</w:t>
            </w:r>
          </w:p>
        </w:tc>
      </w:tr>
      <w:tr w14:paraId="51056F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5DBBE06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就业率、质量报告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503EBC6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每年更新1次（9-10月）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1A2188A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手动:查阅最新就业质量报告</w:t>
            </w:r>
          </w:p>
        </w:tc>
      </w:tr>
      <w:tr w14:paraId="51099BA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14B7304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目标值、全国均值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30AD6A9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每年更新1次</w:t>
            </w:r>
          </w:p>
        </w:tc>
        <w:tc>
          <w:tcPr>
            <w:tcW w:w="3135" w:type="dxa"/>
            <w:tcBorders>
              <w:tl2br w:val="nil"/>
              <w:tr2bl w:val="nil"/>
            </w:tcBorders>
            <w:vAlign w:val="center"/>
          </w:tcPr>
          <w:p w14:paraId="46527E1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手动:新统计报告发布后更新seed_benchmarks.py</w:t>
            </w:r>
          </w:p>
        </w:tc>
      </w:tr>
    </w:tbl>
    <w:p w14:paraId="5C88F032"/>
    <w:p w14:paraId="03F36A5F">
      <w:r>
        <w:br w:type="page"/>
      </w:r>
    </w:p>
    <w:p w14:paraId="6BF0DD1F">
      <w:pPr>
        <w:pStyle w:val="3"/>
        <w:bidi w:val="0"/>
        <w:rPr>
          <w:rFonts w:hint="eastAsia"/>
          <w:lang w:val="en-US" w:eastAsia="zh-CN"/>
        </w:rPr>
      </w:pPr>
      <w:bookmarkStart w:id="37" w:name="_Toc30632"/>
      <w:r>
        <w:rPr>
          <w:rFonts w:hint="eastAsia"/>
          <w:lang w:val="en-US" w:eastAsia="zh-CN"/>
        </w:rPr>
        <w:t>第八章  数据流水线设计</w:t>
      </w:r>
      <w:bookmarkEnd w:id="37"/>
    </w:p>
    <w:p w14:paraId="6D83EBE6">
      <w:pPr>
        <w:pStyle w:val="5"/>
        <w:bidi w:val="0"/>
        <w:rPr>
          <w:rFonts w:hint="eastAsia"/>
        </w:rPr>
      </w:pPr>
      <w:bookmarkStart w:id="38" w:name="_Toc3189"/>
      <w:r>
        <w:rPr>
          <w:rFonts w:hint="eastAsia"/>
        </w:rPr>
        <w:t>8.1 初始化流水线（setup_data.py）</w:t>
      </w:r>
      <w:bookmarkEnd w:id="38"/>
    </w:p>
    <w:p w14:paraId="5BE47AA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该脚本为项目首次部署或需完全重建数据库时使用。通过subprocess调用sqlcmd执行SQL脚本，随后调用Python数据脚本完成全部数据初始化。</w:t>
      </w:r>
    </w:p>
    <w:p w14:paraId="69E0ED03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python setup_data.py   # 一键执行以下4步</w:t>
      </w:r>
    </w:p>
    <w:p w14:paraId="37175E6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Step 1: sqlcmd -i database/init_db.sql</w:t>
      </w:r>
    </w:p>
    <w:p w14:paraId="773BC055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→ CREATE DATABASE + 5张表（IndicatorCategory, IndicatorMaster,</w:t>
      </w:r>
    </w:p>
    <w:p w14:paraId="0026E20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 CAUCData, DataSnapshot, CompletionSummary）</w:t>
      </w:r>
    </w:p>
    <w:p w14:paraId="75B91DD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Step 2: sqlcmd -i database/seed_data.sql</w:t>
      </w:r>
    </w:p>
    <w:p w14:paraId="09324EF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→ INSERT 5行大类 + 24行指标定义 + 初始CAUCData + 趋势模拟快照</w:t>
      </w:r>
    </w:p>
    <w:p w14:paraId="63C043A6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Step 3: python database/seed_benchmarks.py</w:t>
      </w:r>
    </w:p>
    <w:p w14:paraId="701B7CF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→ UPDATE IndicatorMaster SET TargetValue=?, NationalAvg=?</w:t>
      </w:r>
    </w:p>
    <w:p w14:paraId="67549D20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   WHERE IndicatorCode=?  （24项全部更新为B层常模值）</w:t>
      </w:r>
    </w:p>
    <w:p w14:paraId="4E7BEC25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Step 4: python database/seed_cauc_data.py</w:t>
      </w:r>
    </w:p>
    <w:p w14:paraId="1D8C555B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→ INSERT INTO CAUCData  （24条中航大实际数据，标注来源URL）</w:t>
      </w:r>
    </w:p>
    <w:p w14:paraId="3CE5D861">
      <w:pPr>
        <w:pStyle w:val="5"/>
        <w:bidi w:val="0"/>
        <w:rPr>
          <w:rFonts w:hint="eastAsia"/>
        </w:rPr>
      </w:pPr>
      <w:bookmarkStart w:id="39" w:name="_Toc12212"/>
      <w:r>
        <w:rPr>
          <w:rFonts w:hint="eastAsia"/>
        </w:rPr>
        <w:t>8.2 Python数据脚本设计（seed_*.py）</w:t>
      </w:r>
      <w:bookmarkEnd w:id="39"/>
    </w:p>
    <w:p w14:paraId="0B0B9B16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两个种子脚本均设计为"双模式"运行：当SQL Server可连接时，通过pyodbc或SQLAlchemy直接写入数据库；当数据库不可用时，仅打印全部数据表格和来源信息到控制台，不执行写操作。此设计确保脚本在无数据库环境也能完整展示数据供人工核对。</w:t>
      </w:r>
    </w:p>
    <w:p w14:paraId="093B79B1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seed_benchmarks.py：BENCHMARKS字典存储24项指标的目标值、全国均值和来源说明。update_database()函数遍历字典，对每项执行UPDATE IndicatorMaster。print_benchmarks()函数打印格式化的数据表格。</w:t>
      </w:r>
    </w:p>
    <w:p w14:paraId="1D10ED63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seed_cauc_data.py：CAUC_DATA字典存储24项指标的实际值、年度、来源URL和来源说明。update_database()函数遍历字典，先查询IndicatorMaster获取IndicatorID，再INSERT INTO CAUCData。print_cauc_data()函数打印数据表格并统计各来源渠道分布。</w:t>
      </w:r>
    </w:p>
    <w:p w14:paraId="1FEE2E2C">
      <w:pPr>
        <w:pStyle w:val="5"/>
        <w:bidi w:val="0"/>
        <w:rPr>
          <w:rFonts w:hint="eastAsia"/>
        </w:rPr>
      </w:pPr>
      <w:bookmarkStart w:id="40" w:name="_Toc2550"/>
      <w:r>
        <w:rPr>
          <w:rFonts w:hint="eastAsia"/>
        </w:rPr>
        <w:t>8.3 日常更新场景</w:t>
      </w:r>
      <w:bookmarkEnd w:id="40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E6249B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652139A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场景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3CB297D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6F59D5B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影响的表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1EBA2C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22D7CEE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C16C1E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某指标实际值变化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33AD55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 /api/manual-update或SSMS</w:t>
            </w:r>
            <w:r>
              <w:rPr>
                <w:rFonts w:hint="eastAsia" w:cs="Times New Roman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INSERT CAUCData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2BCFBB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CAUCData</w:t>
            </w:r>
          </w:p>
          <w:p w14:paraId="38BA81D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（新增一条）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311DA6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保留历史，最新值自动被API取用</w:t>
            </w:r>
          </w:p>
        </w:tc>
      </w:tr>
      <w:tr w14:paraId="4498A53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30A904C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批量更新实际数据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4BD9DD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修改seed_cauc_data.py后执行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AA7EB4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CAUCData</w:t>
            </w:r>
          </w:p>
          <w:p w14:paraId="3AD58AE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（批量INSERT）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16895FE2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适用于年度数据集中更新</w:t>
            </w:r>
          </w:p>
        </w:tc>
      </w:tr>
      <w:tr w14:paraId="2A92E1F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802EBE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调整对标基准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EB725D5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修改seed_benchmarks.py后执行或SSMS UPDATE IndicatorMaster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C69FCB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IndicatorMaster</w:t>
            </w:r>
          </w:p>
          <w:p w14:paraId="484EBE0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（UPDATE）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E5E06DF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适用于教育部发布新统计报告</w:t>
            </w:r>
          </w:p>
        </w:tc>
      </w:tr>
      <w:tr w14:paraId="53D60F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D3FDB1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手动生成快照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C9520E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POST/api/snapshot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18C3B1F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DataSnapshot</w:t>
            </w:r>
          </w:p>
          <w:p w14:paraId="4F86A5E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CompletionSummary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625EFA7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立即保存当前状态</w:t>
            </w:r>
          </w:p>
        </w:tc>
      </w:tr>
      <w:tr w14:paraId="0DA9E18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73FD4B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完全重建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1D3C51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 setup_data.py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0935F4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全部5张表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159EF24A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删除旧库后重新初始化</w:t>
            </w:r>
          </w:p>
        </w:tc>
      </w:tr>
    </w:tbl>
    <w:p w14:paraId="3036500F"/>
    <w:p w14:paraId="4AF97E8E">
      <w:r>
        <w:br w:type="page"/>
      </w:r>
    </w:p>
    <w:p w14:paraId="3E6C4EF5">
      <w:pPr>
        <w:pStyle w:val="3"/>
        <w:bidi w:val="0"/>
        <w:rPr>
          <w:rFonts w:hint="eastAsia"/>
          <w:lang w:val="en-US" w:eastAsia="zh-CN"/>
        </w:rPr>
      </w:pPr>
      <w:bookmarkStart w:id="41" w:name="_Toc13408"/>
      <w:r>
        <w:rPr>
          <w:rFonts w:hint="eastAsia"/>
          <w:lang w:val="en-US" w:eastAsia="zh-CN"/>
        </w:rPr>
        <w:t>第九章  关键设计决策与理由</w:t>
      </w:r>
      <w:bookmarkEnd w:id="41"/>
    </w:p>
    <w:p w14:paraId="4C557EF5">
      <w:pPr>
        <w:pStyle w:val="5"/>
        <w:bidi w:val="0"/>
        <w:rPr>
          <w:rFonts w:hint="eastAsia"/>
        </w:rPr>
      </w:pPr>
      <w:bookmarkStart w:id="42" w:name="_Toc14847"/>
      <w:r>
        <w:rPr>
          <w:rFonts w:hint="eastAsia"/>
        </w:rPr>
        <w:t>9.1 分层对标vs.全校均值</w:t>
      </w:r>
      <w:bookmarkEnd w:id="42"/>
    </w:p>
    <w:p w14:paraId="2469736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147所双一流高校内部差异极大：清华大学年度科研经费约80亿元，延边大学约10.67亿元；SCI论文国科大35,186篇，而许多行业特色高校年均不足500篇。使用"全校均值"作为参考系，极端值会严重拉偏基准，导致行业特色型高校的完成度被系统性低估。本系统采用分层对标策略，将中航大与办学类型相近的B层行业特色型高校（南航、南理工、河海、矿大、江大）进行比较，在方法论上更加科学。教育部教研〔2020〕13号文明确"在可比领域与国内外大学进行比较"，分层对标是对这一要求的直接落实。</w:t>
      </w:r>
    </w:p>
    <w:p w14:paraId="29A2F3E5">
      <w:pPr>
        <w:pStyle w:val="5"/>
        <w:bidi w:val="0"/>
        <w:rPr>
          <w:rFonts w:hint="eastAsia"/>
        </w:rPr>
      </w:pPr>
      <w:bookmarkStart w:id="43" w:name="_Toc18751"/>
      <w:r>
        <w:rPr>
          <w:rFonts w:hint="eastAsia"/>
        </w:rPr>
        <w:t>9.2 无前端硬编码数据vs.离线降级</w:t>
      </w:r>
      <w:bookmarkEnd w:id="43"/>
    </w:p>
    <w:p w14:paraId="5A979D5C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V1版本中，前端各页面包含硬编码的mock数据，用于API不可用时的静默降级展示。但mock数据与数据库中的真实数据为两套独立维护的值，容易出现数据不一致。V2版本已彻底移除所有硬编码数据，改为透明展示错误状态（红色感叹号图标+错误描述+重试按钮）。此设计确保数据库是唯一的真实数据来源，用户能明确感知API状态，数据更新只需操作数据库一个入口。</w:t>
      </w:r>
    </w:p>
    <w:p w14:paraId="102CA995">
      <w:pPr>
        <w:pStyle w:val="5"/>
        <w:bidi w:val="0"/>
        <w:rPr>
          <w:rFonts w:hint="eastAsia"/>
        </w:rPr>
      </w:pPr>
      <w:bookmarkStart w:id="44" w:name="_Toc28440"/>
      <w:r>
        <w:rPr>
          <w:rFonts w:hint="eastAsia"/>
        </w:rPr>
        <w:t>9.3 Canvas原生绘制vs.ECharts组件</w:t>
      </w:r>
      <w:bookmarkEnd w:id="44"/>
    </w:p>
    <w:p w14:paraId="5145B92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微信小程序集成ECharts需额外引入echarts-for-weixin组件包（约500KB+），增加项目体积和依赖管理复杂性。本系统的图表类型有限且可控：环形进度条（arc+stroke）、雷达图（多边形+网格+三线）、折线图（数据点+连线+标注）。Canvas 2D API（wx.createCanvasContext）是微信小程序内置能力，无需额外依赖，可满足全部图表需求。缺点是雷达图无法利用ECharts的自动坐标轴标注，需手动计算三角函数坐标。</w:t>
      </w:r>
    </w:p>
    <w:p w14:paraId="0A7E39EC">
      <w:pPr>
        <w:pStyle w:val="5"/>
        <w:bidi w:val="0"/>
        <w:rPr>
          <w:rFonts w:hint="eastAsia"/>
        </w:rPr>
      </w:pPr>
      <w:bookmarkStart w:id="45" w:name="_Toc9963"/>
      <w:r>
        <w:rPr>
          <w:rFonts w:hint="eastAsia"/>
        </w:rPr>
        <w:t>9.4 CAUCData追加写入vs.覆盖更新</w:t>
      </w:r>
      <w:bookmarkEnd w:id="45"/>
    </w:p>
    <w:p w14:paraId="1F88870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CAUCData表设计为INSERT追加模式，每次数据变更新增一条记录，通过ORDER BY ScrapeTime DESC取最新值。此设计保留了完整的数据变更历史，配合DataSnapshot表可实现任意时间点的数据回溯。覆盖更新（UPDATE）模式虽然存储更节省，但会丢失历史信息，无法回答"去年此时这个指标是多少"的问题。</w:t>
      </w:r>
    </w:p>
    <w:p w14:paraId="0EF285DC">
      <w:pPr>
        <w:pStyle w:val="5"/>
        <w:bidi w:val="0"/>
        <w:rPr>
          <w:rFonts w:hint="eastAsia"/>
        </w:rPr>
      </w:pPr>
      <w:bookmarkStart w:id="46" w:name="_Toc22217"/>
      <w:r>
        <w:rPr>
          <w:rFonts w:hint="eastAsia"/>
        </w:rPr>
        <w:t>9.5 SQL Server vs. MySQL/PostgreSQL</w:t>
      </w:r>
      <w:bookmarkEnd w:id="46"/>
    </w:p>
    <w:p w14:paraId="2EC8C3B4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本项目的用户环境已具备SQL Server 2016+和SSMS管理工具。SQL Server支持Windows集成认证，使用当前Windows登录用户身份连接数据库，免去配置数据库账号密码的步骤，降低了部署复杂度。Python端通过pyodbc驱动实现连接，SQLAlchemy提供统一的ORM接口。</w:t>
      </w:r>
    </w:p>
    <w:p w14:paraId="7B4CF601">
      <w:r>
        <w:br w:type="page"/>
      </w:r>
    </w:p>
    <w:p w14:paraId="7569F394">
      <w:pPr>
        <w:pStyle w:val="3"/>
        <w:bidi w:val="0"/>
        <w:rPr>
          <w:rFonts w:hint="eastAsia"/>
          <w:lang w:val="en-US" w:eastAsia="zh-CN"/>
        </w:rPr>
      </w:pPr>
      <w:bookmarkStart w:id="47" w:name="_Toc1758"/>
      <w:r>
        <w:rPr>
          <w:rFonts w:hint="eastAsia"/>
          <w:lang w:val="en-US" w:eastAsia="zh-CN"/>
        </w:rPr>
        <w:t>第十章  部署与运行</w:t>
      </w:r>
      <w:bookmarkEnd w:id="47"/>
    </w:p>
    <w:p w14:paraId="664CB046">
      <w:pPr>
        <w:pStyle w:val="5"/>
        <w:bidi w:val="0"/>
        <w:rPr>
          <w:rFonts w:hint="eastAsia"/>
        </w:rPr>
      </w:pPr>
      <w:bookmarkStart w:id="48" w:name="_Toc9857"/>
      <w:r>
        <w:rPr>
          <w:rFonts w:hint="eastAsia"/>
        </w:rPr>
        <w:t>10.1 开发环境部署</w:t>
      </w:r>
      <w:bookmarkEnd w:id="48"/>
    </w:p>
    <w:p w14:paraId="701D5126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1. 克隆项目</w:t>
      </w:r>
    </w:p>
    <w:p w14:paraId="79C6D2C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git clone &lt;repo-url&gt;</w:t>
      </w:r>
    </w:p>
    <w:p w14:paraId="597C422A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cd CAUC_DoubleFirstClass</w:t>
      </w:r>
    </w:p>
    <w:p w14:paraId="584DAE5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2. 安装Python依赖</w:t>
      </w:r>
    </w:p>
    <w:p w14:paraId="5E82A828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cd backend</w:t>
      </w:r>
    </w:p>
    <w:p w14:paraId="0FECBA8A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pip install -r requirements.txt</w:t>
      </w:r>
    </w:p>
    <w:p w14:paraId="27232A11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3. 初始化数据库（首次运行）</w:t>
      </w:r>
    </w:p>
    <w:p w14:paraId="45778FAD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python setup_data.py</w:t>
      </w:r>
    </w:p>
    <w:p w14:paraId="62C99076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或分步: sqlcmd执行init_db.sql → seed_data.sql → update_*.sql</w:t>
      </w:r>
    </w:p>
    <w:p w14:paraId="39D1D02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4. 启动后端服务</w:t>
      </w:r>
    </w:p>
    <w:p w14:paraId="108C23A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python app.py</w:t>
      </w:r>
    </w:p>
    <w:p w14:paraId="7B8F8C5B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控制台输出: [OK] SQL Server连接成功</w:t>
      </w:r>
    </w:p>
    <w:p w14:paraId="40E60D1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            [调度器]已启动|新闻爬取:每6小时|月度快照:每月1日03:17</w:t>
      </w:r>
    </w:p>
    <w:p w14:paraId="2AA4B2A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            * Running on http://127.0.0.1:5000</w:t>
      </w:r>
    </w:p>
    <w:p w14:paraId="30590A80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# 5. 微信开发者工具 → 导入项目 → 选择 miniprogram/ → AppID测试号</w:t>
      </w:r>
    </w:p>
    <w:p w14:paraId="4B98E0B0">
      <w:pPr>
        <w:pStyle w:val="5"/>
        <w:bidi w:val="0"/>
        <w:rPr>
          <w:rFonts w:hint="eastAsia"/>
        </w:rPr>
      </w:pPr>
      <w:bookmarkStart w:id="49" w:name="_Toc11041"/>
      <w:r>
        <w:rPr>
          <w:rFonts w:hint="eastAsia"/>
        </w:rPr>
        <w:t>10.2 生产环境建议</w:t>
      </w:r>
      <w:bookmarkEnd w:id="49"/>
    </w:p>
    <w:tbl>
      <w:tblPr>
        <w:tblStyle w:val="53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3"/>
        <w:gridCol w:w="2351"/>
      </w:tblGrid>
      <w:tr w14:paraId="0B8A37D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159CAB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组件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498469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开发环境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758B12BC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生产环境建议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03E6900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25D1E1B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1814573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后端服务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C92314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Flask开发服务器(app.run)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6196A6E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Gunicorn/uWSGI+Nginx反向代理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3C18E92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Flask自带服务器不适合生产；Nginx提供静态资源+SSL</w:t>
            </w:r>
          </w:p>
        </w:tc>
      </w:tr>
      <w:tr w14:paraId="310851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65971B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数据库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33E92A34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本地SQL Server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E266D9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SQL Server专用服务器或云数据库RDS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D228F8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确保数据持久化和备份策略</w:t>
            </w:r>
          </w:p>
        </w:tc>
      </w:tr>
      <w:tr w14:paraId="2685D92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120AA1E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小程序API域名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54302558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localhost:5000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6DF8CB3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已备案HTTPS域名+ SSL证书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4612A671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微信小程序要求API为HTTPS域名</w:t>
            </w:r>
          </w:p>
        </w:tc>
      </w:tr>
      <w:tr w14:paraId="7033F43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E5CD75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定时任务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0E66EB73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APScheduler(Flask进程内)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FCAD5A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可考虑独立Worker或系统crontab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190D6829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进程内调度器重启时中断；独立Worker更稳定</w:t>
            </w:r>
          </w:p>
        </w:tc>
      </w:tr>
      <w:tr w14:paraId="5D2DAFD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6804638D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日志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59335F7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控制台print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D29811B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logging模块+文件轮转</w:t>
            </w:r>
          </w:p>
        </w:tc>
        <w:tc>
          <w:tcPr>
            <w:tcW w:w="2351" w:type="dxa"/>
            <w:tcBorders>
              <w:tl2br w:val="nil"/>
              <w:tr2bl w:val="nil"/>
            </w:tcBorders>
            <w:vAlign w:val="center"/>
          </w:tcPr>
          <w:p w14:paraId="24F4A266">
            <w:pPr>
              <w:pStyle w:val="170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生产需持久化日志便于排查</w:t>
            </w:r>
          </w:p>
        </w:tc>
      </w:tr>
    </w:tbl>
    <w:p w14:paraId="2595824A"/>
    <w:p w14:paraId="417DFCE8">
      <w:pPr>
        <w:pStyle w:val="5"/>
        <w:bidi w:val="0"/>
        <w:rPr>
          <w:rFonts w:hint="eastAsia"/>
        </w:rPr>
      </w:pPr>
      <w:bookmarkStart w:id="50" w:name="_Toc22811"/>
      <w:r>
        <w:rPr>
          <w:rFonts w:hint="eastAsia"/>
        </w:rPr>
        <w:t>10.3 依赖清单</w:t>
      </w:r>
      <w:bookmarkEnd w:id="50"/>
    </w:p>
    <w:p w14:paraId="5484F147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flask &gt;= 2.2</w:t>
      </w:r>
    </w:p>
    <w:p w14:paraId="645D907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flask-sqlalchemy &gt;= 3.0</w:t>
      </w:r>
    </w:p>
    <w:p w14:paraId="04D96E3B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flask-cors &gt;= 4.0</w:t>
      </w:r>
    </w:p>
    <w:p w14:paraId="006552E0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pyodbc &gt;= 4.0</w:t>
      </w:r>
    </w:p>
    <w:p w14:paraId="32803300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sqlalchemy &gt;= 1.4</w:t>
      </w:r>
    </w:p>
    <w:p w14:paraId="3C8E51DF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requests &gt;= 2.31</w:t>
      </w:r>
    </w:p>
    <w:p w14:paraId="00201CA9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beautifulsoup4 &gt;= 4.12</w:t>
      </w:r>
    </w:p>
    <w:p w14:paraId="04E46B7B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apscheduler &gt;= 3.10</w:t>
      </w:r>
    </w:p>
    <w:p w14:paraId="384CFF0E">
      <w:pPr>
        <w:pStyle w:val="16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lxml &gt;= 4.9</w:t>
      </w:r>
    </w:p>
    <w:p w14:paraId="3E18AB43">
      <w:pPr>
        <w:ind w:firstLine="400"/>
      </w:pPr>
    </w:p>
    <w:p w14:paraId="3A472031">
      <w:pPr>
        <w:jc w:val="center"/>
        <w:rPr>
          <w:rFonts w:hint="eastAsia" w:ascii="黑体" w:hAnsi="黑体" w:eastAsia="黑体" w:cs="黑体"/>
          <w:b/>
          <w:bCs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22"/>
          <w:lang w:val="en-US" w:eastAsia="zh-CN" w:bidi="ar-SA"/>
          <w14:ligatures w14:val="standardContextual"/>
        </w:rPr>
        <w:t>"明德至善、弘毅兴邦"</w:t>
      </w:r>
    </w:p>
    <w:sectPr>
      <w:pgSz w:w="12240" w:h="15840"/>
      <w:pgMar w:top="1247" w:right="1417" w:bottom="1247" w:left="141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CE644"/>
    <w:multiLevelType w:val="singleLevel"/>
    <w:tmpl w:val="A9BCE644"/>
    <w:lvl w:ilvl="0" w:tentative="0">
      <w:start w:val="1"/>
      <w:numFmt w:val="bullet"/>
      <w:lvlText w:val=""/>
      <w:lvlJc w:val="left"/>
      <w:pPr>
        <w:ind w:left="236" w:leftChars="0" w:hanging="236" w:firstLineChars="0"/>
      </w:pPr>
      <w:rPr>
        <w:rFonts w:hint="default" w:ascii="Wingdings" w:hAnsi="Wingdings" w:cs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60381"/>
    <w:rsid w:val="02FC7ACC"/>
    <w:rsid w:val="03122CF5"/>
    <w:rsid w:val="035747EB"/>
    <w:rsid w:val="045B7E6B"/>
    <w:rsid w:val="04D9798B"/>
    <w:rsid w:val="09883C00"/>
    <w:rsid w:val="16A07B18"/>
    <w:rsid w:val="1B4A74E5"/>
    <w:rsid w:val="2C4E4B8A"/>
    <w:rsid w:val="321411C3"/>
    <w:rsid w:val="3F4343E8"/>
    <w:rsid w:val="469F1383"/>
    <w:rsid w:val="46EB783F"/>
    <w:rsid w:val="47563538"/>
    <w:rsid w:val="51E67581"/>
    <w:rsid w:val="576F6264"/>
    <w:rsid w:val="7230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4"/>
    <w:next w:val="1"/>
    <w:link w:val="142"/>
    <w:qFormat/>
    <w:uiPriority w:val="9"/>
    <w:pPr>
      <w:tabs>
        <w:tab w:val="left" w:pos="1305"/>
      </w:tabs>
    </w:pPr>
  </w:style>
  <w:style w:type="paragraph" w:styleId="5">
    <w:name w:val="heading 2"/>
    <w:basedOn w:val="6"/>
    <w:next w:val="1"/>
    <w:link w:val="143"/>
    <w:unhideWhenUsed/>
    <w:qFormat/>
    <w:uiPriority w:val="9"/>
    <w:pPr>
      <w:spacing w:before="156" w:after="156"/>
      <w:outlineLvl w:val="1"/>
    </w:pPr>
  </w:style>
  <w:style w:type="paragraph" w:styleId="7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10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1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3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customStyle="1" w:styleId="4">
    <w:name w:val="02-一级标题"/>
    <w:qFormat/>
    <w:uiPriority w:val="0"/>
    <w:pPr>
      <w:spacing w:before="360" w:after="600" w:line="400" w:lineRule="exact"/>
      <w:jc w:val="center"/>
      <w:outlineLvl w:val="0"/>
    </w:pPr>
    <w:rPr>
      <w:rFonts w:ascii="Times New Roman" w:hAnsi="Times New Roman" w:eastAsia="黑体" w:cs="Times New Roman"/>
      <w:kern w:val="2"/>
      <w:sz w:val="32"/>
      <w:szCs w:val="32"/>
      <w:lang w:val="en-US" w:eastAsia="zh-CN" w:bidi="ar-SA"/>
      <w14:ligatures w14:val="standardContextual"/>
    </w:rPr>
  </w:style>
  <w:style w:type="paragraph" w:customStyle="1" w:styleId="6">
    <w:name w:val="04-三级标题"/>
    <w:qFormat/>
    <w:uiPriority w:val="0"/>
    <w:pPr>
      <w:spacing w:before="50" w:beforeLines="50" w:after="50" w:afterLines="50" w:line="400" w:lineRule="exact"/>
      <w:outlineLvl w:val="2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  <w14:ligatures w14:val="standardContextual"/>
    </w:rPr>
  </w:style>
  <w:style w:type="paragraph" w:styleId="1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5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9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1">
    <w:name w:val="Body Text"/>
    <w:basedOn w:val="1"/>
    <w:link w:val="148"/>
    <w:unhideWhenUsed/>
    <w:qFormat/>
    <w:uiPriority w:val="99"/>
    <w:pPr>
      <w:spacing w:after="120"/>
    </w:pPr>
  </w:style>
  <w:style w:type="paragraph" w:styleId="22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6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toc 1"/>
    <w:basedOn w:val="1"/>
    <w:next w:val="1"/>
    <w:semiHidden/>
    <w:unhideWhenUsed/>
    <w:uiPriority w:val="39"/>
  </w:style>
  <w:style w:type="paragraph" w:styleId="29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2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customStyle="1" w:styleId="139">
    <w:name w:val="Header Char"/>
    <w:basedOn w:val="136"/>
    <w:link w:val="27"/>
    <w:uiPriority w:val="99"/>
  </w:style>
  <w:style w:type="character" w:customStyle="1" w:styleId="140">
    <w:name w:val="Footer Char"/>
    <w:basedOn w:val="136"/>
    <w:link w:val="26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link w:val="3"/>
    <w:uiPriority w:val="9"/>
    <w:rPr>
      <w:rFonts w:ascii="Times New Roman" w:hAnsi="Times New Roman" w:eastAsia="黑体" w:cs="Times New Roman"/>
      <w:kern w:val="2"/>
      <w:sz w:val="32"/>
      <w:szCs w:val="32"/>
      <w:lang w:val="en-US" w:eastAsia="zh-CN" w:bidi="ar-SA"/>
      <w14:ligatures w14:val="standardContextual"/>
    </w:rPr>
  </w:style>
  <w:style w:type="character" w:customStyle="1" w:styleId="143">
    <w:name w:val="Heading 2 Char"/>
    <w:link w:val="5"/>
    <w:qFormat/>
    <w:uiPriority w:val="9"/>
    <w:rPr>
      <w:rFonts w:ascii="Times New Roman" w:hAnsi="Times New Roman" w:eastAsia="黑体" w:cs="Times New Roman"/>
      <w:kern w:val="2"/>
      <w:sz w:val="24"/>
      <w:szCs w:val="24"/>
      <w:lang w:val="en-US" w:eastAsia="zh-CN" w:bidi="ar-SA"/>
      <w14:ligatures w14:val="standardContextual"/>
    </w:rPr>
  </w:style>
  <w:style w:type="character" w:customStyle="1" w:styleId="144">
    <w:name w:val="Heading 3 Char"/>
    <w:basedOn w:val="136"/>
    <w:link w:val="7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6"/>
    <w:link w:val="2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6"/>
    <w:link w:val="21"/>
    <w:uiPriority w:val="99"/>
  </w:style>
  <w:style w:type="character" w:customStyle="1" w:styleId="149">
    <w:name w:val="Body Text 2 Char"/>
    <w:basedOn w:val="136"/>
    <w:link w:val="32"/>
    <w:qFormat/>
    <w:uiPriority w:val="99"/>
  </w:style>
  <w:style w:type="character" w:customStyle="1" w:styleId="150">
    <w:name w:val="Body Text 3 Char"/>
    <w:basedOn w:val="136"/>
    <w:link w:val="19"/>
    <w:uiPriority w:val="99"/>
    <w:rPr>
      <w:sz w:val="16"/>
      <w:szCs w:val="16"/>
    </w:rPr>
  </w:style>
  <w:style w:type="character" w:customStyle="1" w:styleId="151">
    <w:name w:val="Macro Text Char"/>
    <w:basedOn w:val="136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6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6"/>
    <w:link w:val="8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6"/>
    <w:link w:val="9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6"/>
    <w:link w:val="10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6"/>
    <w:link w:val="12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6"/>
    <w:link w:val="13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6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19-题名页总标题"/>
    <w:qFormat/>
    <w:uiPriority w:val="0"/>
    <w:pPr>
      <w:jc w:val="center"/>
    </w:pPr>
    <w:rPr>
      <w:rFonts w:ascii="Times New Roman" w:hAnsi="Times New Roman" w:eastAsia="隶书" w:cstheme="minorBidi"/>
      <w:bCs/>
      <w:kern w:val="2"/>
      <w:sz w:val="72"/>
      <w:szCs w:val="21"/>
      <w:lang w:val="en-US" w:eastAsia="zh-CN" w:bidi="ar-SA"/>
    </w:rPr>
  </w:style>
  <w:style w:type="paragraph" w:customStyle="1" w:styleId="169">
    <w:name w:val="正文11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sz w:val="24"/>
    </w:rPr>
  </w:style>
  <w:style w:type="paragraph" w:customStyle="1" w:styleId="170">
    <w:name w:val="30-表内文字"/>
    <w:qFormat/>
    <w:uiPriority w:val="0"/>
    <w:pPr>
      <w:jc w:val="center"/>
    </w:pPr>
    <w:rPr>
      <w:rFonts w:ascii="Times New Roman" w:hAnsi="Times New Roman" w:eastAsia="宋体" w:cstheme="minorBidi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697</Words>
  <Characters>753</Characters>
  <Lines>0</Lines>
  <Paragraphs>0</Paragraphs>
  <TotalTime>1</TotalTime>
  <ScaleCrop>false</ScaleCrop>
  <LinksUpToDate>false</LinksUpToDate>
  <CharactersWithSpaces>759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萧瑟之北</cp:lastModifiedBy>
  <dcterms:modified xsi:type="dcterms:W3CDTF">2026-05-21T05:12:50Z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eyJoZGlkIjoiYmM5NzA2M2YxNDAzNWIxYmYxOGIwZTUyNTRkMDVjYjMiLCJ1c2VySWQiOiI3NzQ1NTk4NDIifQ==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08D7C147A1B346F48F39CC5070280C71_12</vt:lpwstr>
  </property>
</Properties>
</file>