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6E27" w14:textId="77777777" w:rsidR="00DC039C" w:rsidRDefault="001150CA">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1A74A16A" w14:textId="77777777" w:rsidR="00DC039C" w:rsidRPr="00916F40" w:rsidRDefault="001150CA">
      <w:pPr>
        <w:pStyle w:val="Title"/>
        <w:rPr>
          <w:lang w:val="fr-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6E01" w:rsidRPr="00916F40">
        <w:rPr>
          <w:lang w:val="fr-BE"/>
        </w:rPr>
        <w:t>Politique de cybersécurité (BAsic)</w:t>
      </w:r>
    </w:p>
    <w:p w14:paraId="076131C8" w14:textId="77777777" w:rsidR="00DC039C" w:rsidRPr="00916F40" w:rsidRDefault="001150CA">
      <w:pPr>
        <w:pStyle w:val="Coversous-titre"/>
        <w:rPr>
          <w:noProof/>
          <w:lang w:val="fr-BE"/>
        </w:rPr>
      </w:pPr>
      <w:r w:rsidRPr="00916F40">
        <w:rPr>
          <w:lang w:val="fr-BE"/>
        </w:rPr>
        <w:lastRenderedPageBreak/>
        <w:t xml:space="preserve"> Modèle</w:t>
      </w:r>
    </w:p>
    <w:p w14:paraId="2C4CA2D0" w14:textId="4330A876" w:rsidR="009B257C" w:rsidRPr="00916F40" w:rsidRDefault="009B257C" w:rsidP="00C36D02">
      <w:pPr>
        <w:pStyle w:val="ListBullet"/>
        <w:numPr>
          <w:ilvl w:val="0"/>
          <w:numId w:val="0"/>
        </w:numPr>
        <w:ind w:left="360"/>
        <w:rPr>
          <w:lang w:val="fr-BE"/>
        </w:rPr>
      </w:pPr>
    </w:p>
    <w:p w14:paraId="36BF8A11" w14:textId="77777777" w:rsidR="00DC039C" w:rsidRPr="00916F40" w:rsidRDefault="001150CA">
      <w:pPr>
        <w:pStyle w:val="Heading1"/>
        <w:rPr>
          <w:lang w:val="fr-BE"/>
        </w:rPr>
      </w:pPr>
      <w:bookmarkStart w:id="0" w:name="_Toc157686501"/>
      <w:r w:rsidRPr="00916F40">
        <w:rPr>
          <w:lang w:val="fr-BE"/>
        </w:rPr>
        <w:t>Autorité et révision</w:t>
      </w:r>
      <w:bookmarkEnd w:id="0"/>
    </w:p>
    <w:p w14:paraId="6D2081CB" w14:textId="77777777" w:rsidR="00DC039C" w:rsidRDefault="001150CA">
      <w:pPr>
        <w:pStyle w:val="Heading2"/>
        <w:rPr>
          <w:lang w:val="nl-BE"/>
        </w:rPr>
      </w:pPr>
      <w:bookmarkStart w:id="1" w:name="_Toc157686502"/>
      <w:r w:rsidRPr="00C85E86">
        <w:rPr>
          <w:lang w:val="nl-BE"/>
        </w:rPr>
        <w:t>Contrôle et révision des documents</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3203DDD" w14:textId="77777777" w:rsidR="00DC039C" w:rsidRDefault="001150CA">
            <w:pPr>
              <w:rPr>
                <w:b/>
                <w:color w:val="FFFFFF" w:themeColor="background1"/>
                <w:lang w:val="nl-BE"/>
              </w:rPr>
            </w:pPr>
            <w:r w:rsidRPr="00C85E86">
              <w:rPr>
                <w:b/>
                <w:color w:val="FFFFFF" w:themeColor="background1"/>
                <w:lang w:val="nl-BE"/>
              </w:rPr>
              <w:t xml:space="preserve">Vérification des documents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56F1F72A" w14:textId="77777777" w:rsidR="00DC039C" w:rsidRDefault="001150CA">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BA3E2B9" w14:textId="77777777" w:rsidR="00DC039C" w:rsidRDefault="001150CA">
            <w:pPr>
              <w:rPr>
                <w:bCs/>
                <w:lang w:val="nl-BE"/>
              </w:rPr>
            </w:pPr>
            <w:r w:rsidRPr="00C85E86">
              <w:rPr>
                <w:bCs/>
                <w:lang w:val="nl-BE"/>
              </w:rPr>
              <w:t>Propriétaire</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793D8C39" w14:textId="77777777" w:rsidR="00DC039C" w:rsidRDefault="001150CA">
            <w:pPr>
              <w:rPr>
                <w:bCs/>
                <w:lang w:val="nl-BE"/>
              </w:rPr>
            </w:pPr>
            <w:r w:rsidRPr="00C85E86">
              <w:rPr>
                <w:bCs/>
                <w:lang w:val="nl-BE"/>
              </w:rPr>
              <w:t>Date de création</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49396FAD" w14:textId="77777777" w:rsidR="00DC039C" w:rsidRDefault="001150CA">
            <w:pPr>
              <w:rPr>
                <w:bCs/>
                <w:lang w:val="nl-BE"/>
              </w:rPr>
            </w:pPr>
            <w:r w:rsidRPr="00C85E86">
              <w:rPr>
                <w:bCs/>
                <w:lang w:val="nl-BE"/>
              </w:rPr>
              <w:t xml:space="preserve">Dernière révision par </w:t>
            </w:r>
          </w:p>
        </w:tc>
        <w:tc>
          <w:tcPr>
            <w:tcW w:w="6366" w:type="dxa"/>
            <w:vAlign w:val="center"/>
          </w:tcPr>
          <w:p w14:paraId="4CCA7809" w14:textId="77777777" w:rsidR="00CA1946" w:rsidRPr="00C85E86" w:rsidRDefault="00CA1946" w:rsidP="00040420">
            <w:pPr>
              <w:rPr>
                <w:b/>
                <w:lang w:val="nl-BE"/>
              </w:rPr>
            </w:pPr>
          </w:p>
        </w:tc>
      </w:tr>
      <w:tr w:rsidR="00CA1946" w:rsidRPr="00902A2B" w14:paraId="50158E5B" w14:textId="77777777" w:rsidTr="006247AE">
        <w:trPr>
          <w:trHeight w:val="283"/>
        </w:trPr>
        <w:tc>
          <w:tcPr>
            <w:tcW w:w="2696" w:type="dxa"/>
            <w:vAlign w:val="center"/>
          </w:tcPr>
          <w:p w14:paraId="3B7E1B30" w14:textId="77777777" w:rsidR="00DC039C" w:rsidRPr="00916F40" w:rsidRDefault="001150CA">
            <w:pPr>
              <w:rPr>
                <w:bCs/>
                <w:lang w:val="fr-BE"/>
              </w:rPr>
            </w:pPr>
            <w:r w:rsidRPr="00916F40">
              <w:rPr>
                <w:bCs/>
                <w:lang w:val="fr-BE"/>
              </w:rPr>
              <w:t>Date de la dernière révision</w:t>
            </w:r>
          </w:p>
        </w:tc>
        <w:tc>
          <w:tcPr>
            <w:tcW w:w="6366" w:type="dxa"/>
            <w:vAlign w:val="center"/>
          </w:tcPr>
          <w:p w14:paraId="1B9F79EF" w14:textId="77777777" w:rsidR="00CA1946" w:rsidRPr="00916F40" w:rsidRDefault="00CA1946" w:rsidP="00040420">
            <w:pPr>
              <w:rPr>
                <w:b/>
                <w:lang w:val="fr-BE"/>
              </w:rPr>
            </w:pPr>
          </w:p>
        </w:tc>
      </w:tr>
    </w:tbl>
    <w:p w14:paraId="6FE5C405" w14:textId="77777777" w:rsidR="00DC039C" w:rsidRDefault="001150CA">
      <w:pPr>
        <w:pStyle w:val="BodyText"/>
        <w:rPr>
          <w:lang w:val="nl-BE"/>
        </w:rPr>
      </w:pPr>
      <w:r w:rsidRPr="00C85E86">
        <w:rPr>
          <w:lang w:val="nl-BE"/>
        </w:rPr>
        <w:t>.</w:t>
      </w:r>
    </w:p>
    <w:p w14:paraId="5C9DEDE0" w14:textId="77777777" w:rsidR="00DC039C" w:rsidRDefault="001150CA">
      <w:pPr>
        <w:pStyle w:val="Heading2"/>
        <w:rPr>
          <w:lang w:val="nl-BE"/>
        </w:rPr>
      </w:pPr>
      <w:bookmarkStart w:id="2" w:name="_Toc157686503"/>
      <w:r w:rsidRPr="00C85E86">
        <w:rPr>
          <w:lang w:val="nl-BE"/>
        </w:rPr>
        <w:t>Gestion des versions</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31BB802B" w14:textId="77777777" w:rsidR="00DC039C" w:rsidRDefault="001150CA">
            <w:pPr>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0130CAA4" w14:textId="77777777" w:rsidR="00DC039C" w:rsidRDefault="001150CA">
            <w:pPr>
              <w:rPr>
                <w:b/>
                <w:color w:val="FFFFFF" w:themeColor="background1"/>
                <w:lang w:val="nl-BE"/>
              </w:rPr>
            </w:pPr>
            <w:r w:rsidRPr="00C85E86">
              <w:rPr>
                <w:b/>
                <w:color w:val="FFFFFF" w:themeColor="background1"/>
                <w:lang w:val="nl-BE"/>
              </w:rPr>
              <w:t>Date d'approbation</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7DAA0F6" w14:textId="77777777" w:rsidR="00DC039C" w:rsidRDefault="001150CA">
            <w:pPr>
              <w:rPr>
                <w:b/>
                <w:color w:val="FFFFFF" w:themeColor="background1"/>
                <w:lang w:val="nl-BE"/>
              </w:rPr>
            </w:pPr>
            <w:r w:rsidRPr="00C85E86">
              <w:rPr>
                <w:b/>
                <w:color w:val="FFFFFF" w:themeColor="background1"/>
                <w:lang w:val="nl-BE"/>
              </w:rPr>
              <w:t xml:space="preserve">Approuvé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95DDDBA" w14:textId="77777777" w:rsidR="00DC039C" w:rsidRDefault="001150CA">
            <w:pPr>
              <w:rPr>
                <w:b/>
                <w:color w:val="FFFFFF" w:themeColor="background1"/>
                <w:lang w:val="nl-BE"/>
              </w:rPr>
            </w:pPr>
            <w:r w:rsidRPr="00C85E86">
              <w:rPr>
                <w:b/>
                <w:color w:val="FFFFFF" w:themeColor="background1"/>
                <w:lang w:val="nl-BE"/>
              </w:rPr>
              <w:t>Description du changement</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0CF6FDE7" w14:textId="77777777" w:rsidR="00141B30" w:rsidRDefault="00141B30" w:rsidP="00CA1946">
      <w:pPr>
        <w:rPr>
          <w:lang w:val="nl-BE"/>
        </w:rPr>
      </w:pPr>
    </w:p>
    <w:p w14:paraId="110FFE24" w14:textId="77777777" w:rsidR="00DC039C" w:rsidRDefault="001150CA">
      <w:pPr>
        <w:pStyle w:val="Heading1"/>
        <w:rPr>
          <w:lang w:val="nl-BE"/>
        </w:rPr>
      </w:pPr>
      <w:bookmarkStart w:id="3" w:name="_Toc157686504"/>
      <w:r>
        <w:rPr>
          <w:lang w:val="nl-BE"/>
        </w:rPr>
        <w:t>Intro</w:t>
      </w:r>
      <w:bookmarkEnd w:id="3"/>
    </w:p>
    <w:p w14:paraId="2D956F30" w14:textId="5CF70D1A" w:rsidR="00DC039C" w:rsidRPr="00916F40" w:rsidRDefault="001150CA">
      <w:pPr>
        <w:pStyle w:val="BodyText"/>
        <w:jc w:val="left"/>
        <w:rPr>
          <w:lang w:val="fr-BE" w:eastAsia="en-AU"/>
        </w:rPr>
      </w:pPr>
      <w:r w:rsidRPr="00916F40">
        <w:rPr>
          <w:b/>
          <w:bCs/>
          <w:color w:val="60BCCF"/>
          <w:lang w:val="fr-BE" w:eastAsia="en-AU"/>
        </w:rPr>
        <w:t>[L'organisation</w:t>
      </w:r>
      <w:r w:rsidR="00954CC5">
        <w:rPr>
          <w:b/>
          <w:bCs/>
          <w:color w:val="60BCCF"/>
          <w:lang w:val="fr-BE" w:eastAsia="en-AU"/>
        </w:rPr>
        <w:t>]</w:t>
      </w:r>
      <w:r w:rsidRPr="00916F40">
        <w:rPr>
          <w:b/>
          <w:bCs/>
          <w:color w:val="60BCCF"/>
          <w:lang w:val="fr-BE" w:eastAsia="en-AU"/>
        </w:rPr>
        <w:t xml:space="preserve"> </w:t>
      </w:r>
      <w:r w:rsidRPr="00916F40">
        <w:rPr>
          <w:lang w:val="fr-BE" w:eastAsia="en-AU"/>
        </w:rPr>
        <w:t xml:space="preserve">reconnaît le rôle crucial que joue l'information dans les objectifs commerciaux d'aujourd'hui. Dans un monde moderne, les systèmes d'information doivent être fortement interconnectés et accessibles de partout. Si cette situation offre de grandes </w:t>
      </w:r>
      <w:r w:rsidR="00902A2B">
        <w:rPr>
          <w:lang w:val="fr-BE" w:eastAsia="en-AU"/>
        </w:rPr>
        <w:t>opportunités</w:t>
      </w:r>
      <w:r w:rsidRPr="00916F40">
        <w:rPr>
          <w:lang w:val="fr-BE" w:eastAsia="en-AU"/>
        </w:rPr>
        <w:t>, le risque d'attaques hostiles ou de perte de données augmente rapidement.</w:t>
      </w:r>
    </w:p>
    <w:p w14:paraId="58D7628C" w14:textId="77777777" w:rsidR="00DC039C" w:rsidRPr="00916F40" w:rsidRDefault="001150CA">
      <w:pPr>
        <w:pStyle w:val="BodyText"/>
        <w:jc w:val="left"/>
        <w:rPr>
          <w:lang w:val="fr-BE" w:eastAsia="en-AU"/>
        </w:rPr>
      </w:pPr>
      <w:r w:rsidRPr="00916F40">
        <w:rPr>
          <w:lang w:val="fr-BE" w:eastAsia="en-AU"/>
        </w:rPr>
        <w:t xml:space="preserve">La présente politique de cybersécurité définit les exigences minimales applicables à tous les départements de </w:t>
      </w:r>
      <w:r w:rsidRPr="00916F40">
        <w:rPr>
          <w:b/>
          <w:bCs/>
          <w:color w:val="60BCCF"/>
          <w:lang w:val="fr-BE" w:eastAsia="en-AU"/>
        </w:rPr>
        <w:t xml:space="preserve">[l'organisation] </w:t>
      </w:r>
      <w:r w:rsidRPr="00916F40">
        <w:rPr>
          <w:lang w:val="fr-BE" w:eastAsia="en-AU"/>
        </w:rPr>
        <w:t>afin de</w:t>
      </w:r>
      <w:r w:rsidRPr="00916F40">
        <w:rPr>
          <w:b/>
          <w:bCs/>
          <w:color w:val="60BCCF"/>
          <w:lang w:val="fr-BE" w:eastAsia="en-AU"/>
        </w:rPr>
        <w:t xml:space="preserve"> </w:t>
      </w:r>
      <w:r w:rsidRPr="00916F40">
        <w:rPr>
          <w:lang w:val="fr-BE" w:eastAsia="en-AU"/>
        </w:rPr>
        <w:t>protéger notre propriété intellectuelle, notre avantage commercial et notre personnel des conséquences d'une mauvaise sécurité de l'information et de toute cyberattaque.</w:t>
      </w:r>
    </w:p>
    <w:p w14:paraId="59EC7418" w14:textId="77777777" w:rsidR="00DC039C" w:rsidRPr="00916F40" w:rsidRDefault="001150CA">
      <w:pPr>
        <w:pStyle w:val="BodyText"/>
        <w:jc w:val="left"/>
        <w:rPr>
          <w:lang w:val="fr-BE" w:eastAsia="en-AU"/>
        </w:rPr>
      </w:pPr>
      <w:r w:rsidRPr="00916F40">
        <w:rPr>
          <w:lang w:val="fr-BE" w:eastAsia="en-AU"/>
        </w:rPr>
        <w:t>Bien entendu, le respect des lois et des règlements est également pris en compte.</w:t>
      </w:r>
    </w:p>
    <w:p w14:paraId="5F2E9163" w14:textId="77777777" w:rsidR="00DC039C" w:rsidRPr="00916F40" w:rsidRDefault="001150CA">
      <w:pPr>
        <w:pStyle w:val="BodyText"/>
        <w:jc w:val="left"/>
        <w:rPr>
          <w:lang w:val="fr-BE" w:eastAsia="en-AU"/>
        </w:rPr>
      </w:pPr>
      <w:r w:rsidRPr="00916F40">
        <w:rPr>
          <w:lang w:val="fr-BE" w:eastAsia="en-AU"/>
        </w:rPr>
        <w:t>Le cas échéant, les services peuvent définir des lignes directrices supplémentaires et prendre des mesures additionnelles pour assurer le niveau de sécurité requis.</w:t>
      </w:r>
    </w:p>
    <w:p w14:paraId="6D40DC50" w14:textId="77777777" w:rsidR="008D2408" w:rsidRPr="00916F40" w:rsidRDefault="008D2408">
      <w:pPr>
        <w:widowControl/>
        <w:autoSpaceDE/>
        <w:autoSpaceDN/>
        <w:rPr>
          <w:rFonts w:ascii="Arial" w:eastAsiaTheme="majorEastAsia" w:hAnsi="Arial" w:cs="Times New Roman (Titres CS)"/>
          <w:b/>
          <w:color w:val="4DC0E3" w:themeColor="accent3"/>
          <w:sz w:val="30"/>
          <w:szCs w:val="32"/>
          <w:lang w:val="fr-BE"/>
        </w:rPr>
      </w:pPr>
      <w:bookmarkStart w:id="4" w:name="_Toc157686505"/>
      <w:r w:rsidRPr="00916F40">
        <w:rPr>
          <w:lang w:val="fr-BE"/>
        </w:rPr>
        <w:br w:type="page"/>
      </w:r>
    </w:p>
    <w:p w14:paraId="188C668C" w14:textId="77777777" w:rsidR="00DC039C" w:rsidRPr="00916F40" w:rsidRDefault="001150CA">
      <w:pPr>
        <w:pStyle w:val="Heading1"/>
        <w:rPr>
          <w:lang w:val="fr-BE"/>
        </w:rPr>
      </w:pPr>
      <w:r w:rsidRPr="00916F40">
        <w:rPr>
          <w:lang w:val="fr-BE"/>
        </w:rPr>
        <w:lastRenderedPageBreak/>
        <w:t>Principes politiques</w:t>
      </w:r>
      <w:bookmarkEnd w:id="4"/>
    </w:p>
    <w:p w14:paraId="5D46CBB2" w14:textId="77777777" w:rsidR="00DC039C" w:rsidRPr="00916F40" w:rsidRDefault="001150CA">
      <w:pPr>
        <w:pStyle w:val="BodyText"/>
        <w:jc w:val="left"/>
        <w:rPr>
          <w:b/>
          <w:bCs/>
          <w:lang w:val="fr-BE" w:eastAsia="en-AU"/>
        </w:rPr>
      </w:pPr>
      <w:r w:rsidRPr="00916F40">
        <w:rPr>
          <w:b/>
          <w:bCs/>
          <w:lang w:val="fr-BE" w:eastAsia="en-AU"/>
        </w:rPr>
        <w:t>Nous disposons de politiques et de procédures efficaces</w:t>
      </w:r>
    </w:p>
    <w:p w14:paraId="00014668" w14:textId="77777777" w:rsidR="00DC039C" w:rsidRPr="00916F40" w:rsidRDefault="001150CA">
      <w:pPr>
        <w:pStyle w:val="BodyText"/>
        <w:jc w:val="left"/>
        <w:rPr>
          <w:lang w:val="fr-BE" w:eastAsia="en-AU"/>
        </w:rPr>
      </w:pPr>
      <w:r w:rsidRPr="00916F40">
        <w:rPr>
          <w:lang w:val="fr-BE" w:eastAsia="en-AU"/>
        </w:rPr>
        <w:t xml:space="preserve">Nous sommes conscients des risques liés à la sécurité de l'information. Nous élaborons ensemble des politiques et des procédures de sécurité. Nous savons qui est responsable et comment nous appliquons les règles et les procédures. </w:t>
      </w:r>
    </w:p>
    <w:p w14:paraId="4BF6B5FC" w14:textId="77777777" w:rsidR="00DC039C" w:rsidRPr="00916F40" w:rsidRDefault="001150CA">
      <w:pPr>
        <w:pStyle w:val="BodyText"/>
        <w:jc w:val="left"/>
        <w:rPr>
          <w:b/>
          <w:bCs/>
          <w:lang w:val="fr-BE" w:eastAsia="en-AU"/>
        </w:rPr>
      </w:pPr>
      <w:r w:rsidRPr="00916F40">
        <w:rPr>
          <w:b/>
          <w:bCs/>
          <w:lang w:val="fr-BE" w:eastAsia="en-AU"/>
        </w:rPr>
        <w:t>Nous connaissons notre environnement et gérons les risques</w:t>
      </w:r>
    </w:p>
    <w:p w14:paraId="52B052D9" w14:textId="682EE44E" w:rsidR="00DC039C" w:rsidRPr="00916F40" w:rsidRDefault="001150CA">
      <w:pPr>
        <w:pStyle w:val="BodyText"/>
        <w:jc w:val="left"/>
        <w:rPr>
          <w:lang w:val="fr-BE" w:eastAsia="en-AU"/>
        </w:rPr>
      </w:pPr>
      <w:r w:rsidRPr="00916F40">
        <w:rPr>
          <w:lang w:val="fr-BE" w:eastAsia="en-AU"/>
        </w:rPr>
        <w:t xml:space="preserve">Nous savons quels systèmes d'information sont importants pour </w:t>
      </w:r>
      <w:r w:rsidRPr="00916F40">
        <w:rPr>
          <w:b/>
          <w:bCs/>
          <w:color w:val="60BCCF"/>
          <w:lang w:val="fr-BE" w:eastAsia="en-AU"/>
        </w:rPr>
        <w:t>[</w:t>
      </w:r>
      <w:r w:rsidR="001B770C" w:rsidRPr="00916F40">
        <w:rPr>
          <w:b/>
          <w:bCs/>
          <w:color w:val="60BCCF"/>
          <w:lang w:val="fr-BE" w:eastAsia="en-AU"/>
        </w:rPr>
        <w:t>l'</w:t>
      </w:r>
      <w:r w:rsidR="001B770C">
        <w:rPr>
          <w:b/>
          <w:bCs/>
          <w:color w:val="60BCCF"/>
          <w:lang w:val="fr-BE" w:eastAsia="en-AU"/>
        </w:rPr>
        <w:t>O</w:t>
      </w:r>
      <w:r w:rsidR="001B770C" w:rsidRPr="00916F40">
        <w:rPr>
          <w:b/>
          <w:bCs/>
          <w:color w:val="60BCCF"/>
          <w:lang w:val="fr-BE" w:eastAsia="en-AU"/>
        </w:rPr>
        <w:t>rganisation</w:t>
      </w:r>
      <w:r w:rsidRPr="00916F40">
        <w:rPr>
          <w:b/>
          <w:bCs/>
          <w:color w:val="60BCCF"/>
          <w:lang w:val="fr-BE" w:eastAsia="en-AU"/>
        </w:rPr>
        <w:t>].</w:t>
      </w:r>
      <w:r w:rsidRPr="00916F40">
        <w:rPr>
          <w:lang w:val="fr-BE" w:eastAsia="en-AU"/>
        </w:rPr>
        <w:t xml:space="preserve"> Nous connaissons les risques liés à ces systèmes et les maintenons à des niveaux acceptables. Un cycle d'amélioration continue garantit que nos niveaux de sécurité continuent à s'adapter aux changements de notre organisation et de notre environnement.</w:t>
      </w:r>
    </w:p>
    <w:p w14:paraId="51672F6A" w14:textId="77777777" w:rsidR="00DC039C" w:rsidRPr="00916F40" w:rsidRDefault="001150CA">
      <w:pPr>
        <w:pStyle w:val="BodyText"/>
        <w:jc w:val="left"/>
        <w:rPr>
          <w:b/>
          <w:bCs/>
          <w:lang w:val="fr-BE" w:eastAsia="en-AU"/>
        </w:rPr>
      </w:pPr>
      <w:r w:rsidRPr="00916F40">
        <w:rPr>
          <w:b/>
          <w:bCs/>
          <w:lang w:val="fr-BE" w:eastAsia="en-AU"/>
        </w:rPr>
        <w:t>Nous créons des produits et/ou des services sûrs</w:t>
      </w:r>
    </w:p>
    <w:p w14:paraId="7E92D483" w14:textId="54BFD72A" w:rsidR="00DC039C" w:rsidRPr="00916F40" w:rsidRDefault="001150CA">
      <w:pPr>
        <w:pStyle w:val="BodyText"/>
        <w:jc w:val="left"/>
        <w:rPr>
          <w:lang w:val="fr-BE" w:eastAsia="en-AU"/>
        </w:rPr>
      </w:pPr>
      <w:r w:rsidRPr="00916F40">
        <w:rPr>
          <w:lang w:val="fr-BE" w:eastAsia="en-AU"/>
        </w:rPr>
        <w:t xml:space="preserve">Les produits et services de </w:t>
      </w:r>
      <w:r w:rsidRPr="00916F40">
        <w:rPr>
          <w:b/>
          <w:bCs/>
          <w:color w:val="60BCCF"/>
          <w:lang w:val="fr-BE" w:eastAsia="en-AU"/>
        </w:rPr>
        <w:t>[</w:t>
      </w:r>
      <w:r w:rsidR="001B770C" w:rsidRPr="00916F40">
        <w:rPr>
          <w:b/>
          <w:bCs/>
          <w:color w:val="60BCCF"/>
          <w:lang w:val="fr-BE" w:eastAsia="en-AU"/>
        </w:rPr>
        <w:t>l’</w:t>
      </w:r>
      <w:r w:rsidRPr="00916F40">
        <w:rPr>
          <w:b/>
          <w:bCs/>
          <w:color w:val="60BCCF"/>
          <w:lang w:val="fr-BE" w:eastAsia="en-AU"/>
        </w:rPr>
        <w:t>Organisation]</w:t>
      </w:r>
      <w:r w:rsidRPr="00916F40">
        <w:rPr>
          <w:lang w:val="fr-BE" w:eastAsia="en-AU"/>
        </w:rPr>
        <w:t xml:space="preserve"> sont conçus, testés et entretenus dans un souci de cybersécurité et de respect de la vie privée.</w:t>
      </w:r>
    </w:p>
    <w:p w14:paraId="61EFB214" w14:textId="77777777" w:rsidR="00DC039C" w:rsidRPr="00916F40" w:rsidRDefault="001150CA">
      <w:pPr>
        <w:pStyle w:val="BodyText"/>
        <w:jc w:val="left"/>
        <w:rPr>
          <w:b/>
          <w:bCs/>
          <w:lang w:val="fr-BE" w:eastAsia="en-AU"/>
        </w:rPr>
      </w:pPr>
      <w:r w:rsidRPr="00916F40">
        <w:rPr>
          <w:b/>
          <w:bCs/>
          <w:lang w:val="fr-BE" w:eastAsia="en-AU"/>
        </w:rPr>
        <w:t>Nous maintenons une infrastructure solide</w:t>
      </w:r>
    </w:p>
    <w:p w14:paraId="438F9949" w14:textId="77777777" w:rsidR="00DC039C" w:rsidRPr="00916F40" w:rsidRDefault="001150CA">
      <w:pPr>
        <w:pStyle w:val="BodyText"/>
        <w:jc w:val="left"/>
        <w:rPr>
          <w:lang w:val="fr-BE" w:eastAsia="en-AU"/>
        </w:rPr>
      </w:pPr>
      <w:r w:rsidRPr="00916F40">
        <w:rPr>
          <w:lang w:val="fr-BE" w:eastAsia="en-AU"/>
        </w:rPr>
        <w:t>L'infrastructure dont dépendent les systèmes vitaux est conçue pour être hautement disponible.</w:t>
      </w:r>
    </w:p>
    <w:p w14:paraId="76F84E32" w14:textId="77777777" w:rsidR="00DC039C" w:rsidRPr="00916F40" w:rsidRDefault="001150CA">
      <w:pPr>
        <w:pStyle w:val="BodyText"/>
        <w:jc w:val="left"/>
        <w:rPr>
          <w:b/>
          <w:bCs/>
          <w:lang w:val="fr-BE" w:eastAsia="en-AU"/>
        </w:rPr>
      </w:pPr>
      <w:r w:rsidRPr="00916F40">
        <w:rPr>
          <w:b/>
          <w:bCs/>
          <w:lang w:val="fr-BE" w:eastAsia="en-AU"/>
        </w:rPr>
        <w:t>Nous agissons de manière proactive</w:t>
      </w:r>
    </w:p>
    <w:p w14:paraId="2EDCDBB6" w14:textId="77777777" w:rsidR="00DC039C" w:rsidRPr="00916F40" w:rsidRDefault="001150CA">
      <w:pPr>
        <w:pStyle w:val="BodyText"/>
        <w:jc w:val="left"/>
        <w:rPr>
          <w:lang w:val="fr-BE" w:eastAsia="en-AU"/>
        </w:rPr>
      </w:pPr>
      <w:r w:rsidRPr="00916F40">
        <w:rPr>
          <w:lang w:val="fr-BE" w:eastAsia="en-AU"/>
        </w:rPr>
        <w:t>Nous appliquons régulièrement des correctifs. Nous comprenons les vulnérabilités de notre infrastructure et nous nous tenons au courant des vulnérabilités nouvellement découvertes. Nous tirons des enseignements des événements et des incidents liés à la sécurité.</w:t>
      </w:r>
    </w:p>
    <w:p w14:paraId="69E59F38" w14:textId="77777777" w:rsidR="00DC039C" w:rsidRPr="00916F40" w:rsidRDefault="001150CA">
      <w:pPr>
        <w:pStyle w:val="BodyText"/>
        <w:jc w:val="left"/>
        <w:rPr>
          <w:b/>
          <w:bCs/>
          <w:lang w:val="fr-BE" w:eastAsia="en-AU"/>
        </w:rPr>
      </w:pPr>
      <w:r w:rsidRPr="00916F40">
        <w:rPr>
          <w:b/>
          <w:bCs/>
          <w:lang w:val="fr-BE" w:eastAsia="en-AU"/>
        </w:rPr>
        <w:t>Nous traitons les données personnelles de manière appropriée.</w:t>
      </w:r>
    </w:p>
    <w:p w14:paraId="291A19D6" w14:textId="77777777" w:rsidR="00DC039C" w:rsidRPr="00916F40" w:rsidRDefault="001150CA">
      <w:pPr>
        <w:pStyle w:val="BodyText"/>
        <w:jc w:val="left"/>
        <w:rPr>
          <w:lang w:val="fr-BE" w:eastAsia="en-AU"/>
        </w:rPr>
      </w:pPr>
      <w:r w:rsidRPr="00916F40">
        <w:rPr>
          <w:lang w:val="fr-BE" w:eastAsia="en-AU"/>
        </w:rPr>
        <w:t>Nous collectons, utilisons et conservons les données à caractère personnel conformément à la directive AVG ((EU) 2016/679). Cela signifie que nous fournissons les mesures techniques et organisationnelles nécessaires.</w:t>
      </w:r>
    </w:p>
    <w:p w14:paraId="695DEF32" w14:textId="77777777" w:rsidR="00DC039C" w:rsidRPr="00916F40" w:rsidRDefault="001150CA">
      <w:pPr>
        <w:pStyle w:val="Heading1"/>
        <w:rPr>
          <w:lang w:val="fr-BE"/>
        </w:rPr>
      </w:pPr>
      <w:bookmarkStart w:id="5" w:name="_Toc157686506"/>
      <w:r w:rsidRPr="00916F40">
        <w:rPr>
          <w:lang w:val="fr-BE"/>
        </w:rPr>
        <w:t>Champ d'application</w:t>
      </w:r>
      <w:bookmarkEnd w:id="5"/>
    </w:p>
    <w:p w14:paraId="53AE43CE" w14:textId="2A9074E1" w:rsidR="00DC039C" w:rsidRPr="00916F40" w:rsidRDefault="001150CA">
      <w:pPr>
        <w:pStyle w:val="BodyText"/>
        <w:jc w:val="left"/>
        <w:rPr>
          <w:lang w:val="fr-BE" w:eastAsia="en-AU"/>
        </w:rPr>
      </w:pPr>
      <w:r w:rsidRPr="00916F40">
        <w:rPr>
          <w:lang w:val="fr-BE" w:eastAsia="en-AU"/>
        </w:rPr>
        <w:t xml:space="preserve">D'une manière générale, la présente politique de cybersécurité s'applique à toutes les informations et à tous les systèmes de </w:t>
      </w:r>
      <w:r w:rsidRPr="00916F40">
        <w:rPr>
          <w:b/>
          <w:bCs/>
          <w:color w:val="60BCCF"/>
          <w:lang w:val="fr-BE" w:eastAsia="en-AU"/>
        </w:rPr>
        <w:t>[</w:t>
      </w:r>
      <w:r w:rsidR="001B770C" w:rsidRPr="00916F40">
        <w:rPr>
          <w:b/>
          <w:bCs/>
          <w:color w:val="60BCCF"/>
          <w:lang w:val="fr-BE" w:eastAsia="en-AU"/>
        </w:rPr>
        <w:t>l'</w:t>
      </w:r>
      <w:r w:rsidR="001B770C">
        <w:rPr>
          <w:b/>
          <w:bCs/>
          <w:color w:val="60BCCF"/>
          <w:lang w:val="fr-BE" w:eastAsia="en-AU"/>
        </w:rPr>
        <w:t>O</w:t>
      </w:r>
      <w:r w:rsidR="001B770C" w:rsidRPr="00916F40">
        <w:rPr>
          <w:b/>
          <w:bCs/>
          <w:color w:val="60BCCF"/>
          <w:lang w:val="fr-BE" w:eastAsia="en-AU"/>
        </w:rPr>
        <w:t>rganisation</w:t>
      </w:r>
      <w:r w:rsidRPr="00916F40">
        <w:rPr>
          <w:b/>
          <w:bCs/>
          <w:color w:val="60BCCF"/>
          <w:lang w:val="fr-BE" w:eastAsia="en-AU"/>
        </w:rPr>
        <w:t xml:space="preserve">], </w:t>
      </w:r>
      <w:r w:rsidRPr="00916F40">
        <w:rPr>
          <w:lang w:val="fr-BE" w:eastAsia="en-AU"/>
        </w:rPr>
        <w:t xml:space="preserve">ainsi </w:t>
      </w:r>
      <w:r w:rsidR="00907192">
        <w:rPr>
          <w:lang w:val="fr-BE" w:eastAsia="en-AU"/>
        </w:rPr>
        <w:t>qu’</w:t>
      </w:r>
    </w:p>
    <w:p w14:paraId="5F6C0C3A" w14:textId="02E096B6"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916F40">
        <w:rPr>
          <w:lang w:val="fr-BE" w:eastAsia="en-AU"/>
        </w:rPr>
        <w:t xml:space="preserve"> </w:t>
      </w:r>
      <w:r w:rsidRPr="00916F40">
        <w:rPr>
          <w:lang w:val="fr-BE" w:eastAsia="en-AU"/>
        </w:rPr>
        <w:t>systèmes d'information qu'ils fournissent,</w:t>
      </w:r>
    </w:p>
    <w:p w14:paraId="4F1DF778" w14:textId="7D0275B7"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3751EF">
        <w:rPr>
          <w:lang w:val="fr-BE" w:eastAsia="en-AU"/>
        </w:rPr>
        <w:t xml:space="preserve"> </w:t>
      </w:r>
      <w:r w:rsidRPr="00916F40">
        <w:rPr>
          <w:lang w:val="fr-BE" w:eastAsia="en-AU"/>
        </w:rPr>
        <w:t>personnes (internes et externes) qui la traitent,</w:t>
      </w:r>
    </w:p>
    <w:p w14:paraId="4BAB8DBC" w14:textId="626AF720"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3751EF">
        <w:rPr>
          <w:lang w:val="fr-BE" w:eastAsia="en-AU"/>
        </w:rPr>
        <w:t xml:space="preserve"> </w:t>
      </w:r>
      <w:r w:rsidRPr="00916F40">
        <w:rPr>
          <w:lang w:val="fr-BE" w:eastAsia="en-AU"/>
        </w:rPr>
        <w:t>appareils utilisés pour le traiter,</w:t>
      </w:r>
    </w:p>
    <w:p w14:paraId="0F6948A8" w14:textId="3C976AF4"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3751EF">
        <w:rPr>
          <w:lang w:val="fr-BE" w:eastAsia="en-AU"/>
        </w:rPr>
        <w:t xml:space="preserve"> </w:t>
      </w:r>
      <w:r w:rsidRPr="00916F40">
        <w:rPr>
          <w:lang w:val="fr-BE" w:eastAsia="en-AU"/>
        </w:rPr>
        <w:t>procédures dont il dépend,</w:t>
      </w:r>
    </w:p>
    <w:p w14:paraId="551502F6" w14:textId="17EEF4CD"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3751EF">
        <w:rPr>
          <w:lang w:val="fr-BE" w:eastAsia="en-AU"/>
        </w:rPr>
        <w:t xml:space="preserve"> </w:t>
      </w:r>
      <w:r w:rsidRPr="00916F40">
        <w:rPr>
          <w:lang w:val="fr-BE" w:eastAsia="en-AU"/>
        </w:rPr>
        <w:t xml:space="preserve">lieux où nous travaillons </w:t>
      </w:r>
    </w:p>
    <w:p w14:paraId="221F7E78" w14:textId="45320E00" w:rsidR="00DC039C" w:rsidRPr="00916F40" w:rsidRDefault="001150CA">
      <w:pPr>
        <w:pStyle w:val="BodyText"/>
        <w:jc w:val="left"/>
        <w:rPr>
          <w:lang w:val="fr-BE" w:eastAsia="en-AU"/>
        </w:rPr>
      </w:pPr>
      <w:r w:rsidRPr="00916F40">
        <w:rPr>
          <w:lang w:val="fr-BE" w:eastAsia="en-AU"/>
        </w:rPr>
        <w:t xml:space="preserve">... </w:t>
      </w:r>
      <w:r w:rsidR="00907192">
        <w:rPr>
          <w:lang w:val="fr-BE" w:eastAsia="en-AU"/>
        </w:rPr>
        <w:t>aux</w:t>
      </w:r>
      <w:r w:rsidR="00907192" w:rsidRPr="003751EF">
        <w:rPr>
          <w:lang w:val="fr-BE" w:eastAsia="en-AU"/>
        </w:rPr>
        <w:t xml:space="preserve"> </w:t>
      </w:r>
      <w:r w:rsidRPr="00916F40">
        <w:rPr>
          <w:lang w:val="fr-BE" w:eastAsia="en-AU"/>
        </w:rPr>
        <w:t>autres aspects qui peuvent présenter un risque.</w:t>
      </w:r>
    </w:p>
    <w:p w14:paraId="2D439909" w14:textId="77777777" w:rsidR="00DC039C" w:rsidRPr="00916F40" w:rsidRDefault="001150CA">
      <w:pPr>
        <w:pStyle w:val="BodyText"/>
        <w:jc w:val="left"/>
        <w:rPr>
          <w:lang w:val="fr-BE" w:eastAsia="en-AU"/>
        </w:rPr>
      </w:pPr>
      <w:r w:rsidRPr="00916F40">
        <w:rPr>
          <w:lang w:val="fr-BE" w:eastAsia="en-AU"/>
        </w:rPr>
        <w:t>Les informations ou systèmes critiques et confidentiels sont des informations ou des systèmes qui porteront préjudice à l'organisation si leur confidentialité, leur intégrité ou leur disponibilité sont compromises.</w:t>
      </w:r>
    </w:p>
    <w:p w14:paraId="360C2EF8" w14:textId="77777777" w:rsidR="008D2408" w:rsidRPr="00916F40" w:rsidRDefault="008D2408">
      <w:pPr>
        <w:widowControl/>
        <w:autoSpaceDE/>
        <w:autoSpaceDN/>
        <w:rPr>
          <w:rFonts w:ascii="Arial" w:eastAsiaTheme="majorEastAsia" w:hAnsi="Arial" w:cs="Times New Roman (Titres CS)"/>
          <w:b/>
          <w:color w:val="4DC0E3" w:themeColor="accent3"/>
          <w:sz w:val="30"/>
          <w:szCs w:val="32"/>
          <w:lang w:val="fr-BE"/>
        </w:rPr>
      </w:pPr>
      <w:bookmarkStart w:id="6" w:name="_Toc157686507"/>
      <w:bookmarkStart w:id="7" w:name="_Hlk156987230"/>
      <w:r w:rsidRPr="00916F40">
        <w:rPr>
          <w:lang w:val="fr-BE"/>
        </w:rPr>
        <w:br w:type="page"/>
      </w:r>
    </w:p>
    <w:p w14:paraId="1552C723" w14:textId="77777777" w:rsidR="00DC039C" w:rsidRPr="00916F40" w:rsidRDefault="00102293">
      <w:pPr>
        <w:pStyle w:val="Heading1"/>
        <w:rPr>
          <w:lang w:val="fr-BE"/>
        </w:rPr>
      </w:pPr>
      <w:r w:rsidRPr="00916F40">
        <w:rPr>
          <w:lang w:val="fr-BE"/>
        </w:rPr>
        <w:lastRenderedPageBreak/>
        <w:t xml:space="preserve">Exigences </w:t>
      </w:r>
      <w:r w:rsidR="0017421C" w:rsidRPr="00916F40">
        <w:rPr>
          <w:lang w:val="fr-BE"/>
        </w:rPr>
        <w:t>minimales</w:t>
      </w:r>
      <w:bookmarkEnd w:id="6"/>
    </w:p>
    <w:bookmarkEnd w:id="7"/>
    <w:p w14:paraId="23AE4D87" w14:textId="77777777" w:rsidR="00DC039C" w:rsidRPr="00916F40" w:rsidRDefault="001150CA">
      <w:pPr>
        <w:pStyle w:val="BodyText"/>
        <w:jc w:val="left"/>
        <w:rPr>
          <w:lang w:val="fr-BE" w:eastAsia="en-AU"/>
        </w:rPr>
      </w:pPr>
      <w:r w:rsidRPr="00916F40">
        <w:rPr>
          <w:lang w:val="fr-BE" w:eastAsia="en-AU"/>
        </w:rPr>
        <w:t xml:space="preserve">Notre environnement est géré de manière à contribuer à la cybersécurité. </w:t>
      </w:r>
    </w:p>
    <w:p w14:paraId="70E0F647" w14:textId="77777777" w:rsidR="00DC039C" w:rsidRPr="00916F40" w:rsidRDefault="001150CA">
      <w:pPr>
        <w:pStyle w:val="BodyText"/>
        <w:jc w:val="left"/>
        <w:rPr>
          <w:lang w:val="fr-BE" w:eastAsia="en-AU"/>
        </w:rPr>
      </w:pPr>
      <w:r w:rsidRPr="00916F40">
        <w:rPr>
          <w:lang w:val="fr-BE" w:eastAsia="en-AU"/>
        </w:rPr>
        <w:t>Il s'agit notamment de ce qui suit :</w:t>
      </w:r>
    </w:p>
    <w:p w14:paraId="0154F184" w14:textId="77777777" w:rsidR="00DC039C" w:rsidRPr="00916F40" w:rsidRDefault="001150CA">
      <w:pPr>
        <w:pStyle w:val="BodyText"/>
        <w:numPr>
          <w:ilvl w:val="0"/>
          <w:numId w:val="44"/>
        </w:numPr>
        <w:jc w:val="left"/>
        <w:rPr>
          <w:lang w:val="fr-BE" w:eastAsia="en-AU"/>
        </w:rPr>
      </w:pPr>
      <w:r w:rsidRPr="00916F40">
        <w:rPr>
          <w:lang w:val="fr-BE" w:eastAsia="en-AU"/>
        </w:rPr>
        <w:t>Les rôles et les responsabilités en matière de cybersécurité sont définis et communiqués aux parties prenantes internes et externes.</w:t>
      </w:r>
    </w:p>
    <w:p w14:paraId="32C201D6" w14:textId="00263E14" w:rsidR="00DC039C" w:rsidRPr="00916F40" w:rsidRDefault="001150CA">
      <w:pPr>
        <w:pStyle w:val="BodyText"/>
        <w:numPr>
          <w:ilvl w:val="0"/>
          <w:numId w:val="44"/>
        </w:numPr>
        <w:jc w:val="left"/>
        <w:rPr>
          <w:lang w:val="fr-BE" w:eastAsia="en-AU"/>
        </w:rPr>
      </w:pPr>
      <w:r w:rsidRPr="00916F40">
        <w:rPr>
          <w:lang w:val="fr-BE" w:eastAsia="en-AU"/>
        </w:rPr>
        <w:t xml:space="preserve">Un inventaire est établi et tenu à jour </w:t>
      </w:r>
      <w:r w:rsidR="002B37E8">
        <w:rPr>
          <w:lang w:val="fr-BE" w:eastAsia="en-AU"/>
        </w:rPr>
        <w:t xml:space="preserve">avec </w:t>
      </w:r>
      <w:r w:rsidRPr="00916F40">
        <w:rPr>
          <w:lang w:val="fr-BE" w:eastAsia="en-AU"/>
        </w:rPr>
        <w:t>tous les dispositifs physiques, systèmes et logiciels utilisés au sein de l'organisation.</w:t>
      </w:r>
    </w:p>
    <w:p w14:paraId="57CD4103" w14:textId="77777777" w:rsidR="00DC039C" w:rsidRPr="00916F40" w:rsidRDefault="001150CA">
      <w:pPr>
        <w:pStyle w:val="BodyText"/>
        <w:numPr>
          <w:ilvl w:val="0"/>
          <w:numId w:val="44"/>
        </w:numPr>
        <w:jc w:val="left"/>
        <w:rPr>
          <w:lang w:val="fr-BE" w:eastAsia="en-AU"/>
        </w:rPr>
      </w:pPr>
      <w:r w:rsidRPr="00916F40">
        <w:rPr>
          <w:lang w:val="fr-BE" w:eastAsia="en-AU"/>
        </w:rPr>
        <w:t>Les équipements essentiels aux systèmes critiques doivent être correctement entretenus pour garantir leur disponibilité et leur intégrité. Des contrats de maintenance ou des pièces de rechange doivent être envisagés.</w:t>
      </w:r>
    </w:p>
    <w:p w14:paraId="7844065C" w14:textId="77777777" w:rsidR="00DC039C" w:rsidRPr="00916F40" w:rsidRDefault="001150CA">
      <w:pPr>
        <w:pStyle w:val="BodyText"/>
        <w:numPr>
          <w:ilvl w:val="0"/>
          <w:numId w:val="44"/>
        </w:numPr>
        <w:jc w:val="left"/>
        <w:rPr>
          <w:lang w:val="fr-BE" w:eastAsia="en-AU"/>
        </w:rPr>
      </w:pPr>
      <w:r w:rsidRPr="00916F40">
        <w:rPr>
          <w:lang w:val="fr-BE" w:eastAsia="en-AU"/>
        </w:rPr>
        <w:t xml:space="preserve">Des programmes antivirus, anti-espions ou autres programmes malveillants approuvés par l'organisation doivent être installés et mis à jour sur les systèmes et les points d'extrémité identifiés par l'organisation. </w:t>
      </w:r>
    </w:p>
    <w:p w14:paraId="64B50017" w14:textId="77777777" w:rsidR="00DC039C" w:rsidRPr="00916F40" w:rsidRDefault="001150CA">
      <w:pPr>
        <w:pStyle w:val="BodyText"/>
        <w:numPr>
          <w:ilvl w:val="0"/>
          <w:numId w:val="44"/>
        </w:numPr>
        <w:jc w:val="left"/>
        <w:rPr>
          <w:lang w:val="fr-BE" w:eastAsia="en-AU"/>
        </w:rPr>
      </w:pPr>
      <w:r w:rsidRPr="00916F40">
        <w:rPr>
          <w:lang w:val="fr-BE" w:eastAsia="en-AU"/>
        </w:rPr>
        <w:t>Le réseau de l'entreprise sera sécurisé conformément aux exigences définies dans la politique de sécurité du réseau.</w:t>
      </w:r>
    </w:p>
    <w:p w14:paraId="0ED15830" w14:textId="77777777" w:rsidR="00DC039C" w:rsidRPr="00916F40" w:rsidRDefault="001150CA">
      <w:pPr>
        <w:pStyle w:val="BodyText"/>
        <w:numPr>
          <w:ilvl w:val="0"/>
          <w:numId w:val="44"/>
        </w:numPr>
        <w:jc w:val="left"/>
        <w:rPr>
          <w:lang w:val="fr-BE" w:eastAsia="en-AU"/>
        </w:rPr>
      </w:pPr>
      <w:r w:rsidRPr="00916F40">
        <w:rPr>
          <w:lang w:val="fr-BE" w:eastAsia="en-AU"/>
        </w:rPr>
        <w:t>Les systèmes d'exploitation des clients et des serveurs ainsi que les applications recevront les correctifs et les mises à jour de sécurité nécessaires, conformément à la politique de gestion des vulnérabilités et des correctifs.</w:t>
      </w:r>
    </w:p>
    <w:p w14:paraId="1030D726" w14:textId="5628397D" w:rsidR="00DC039C" w:rsidRPr="00916F40" w:rsidRDefault="001150CA">
      <w:pPr>
        <w:pStyle w:val="BodyText"/>
        <w:numPr>
          <w:ilvl w:val="0"/>
          <w:numId w:val="44"/>
        </w:numPr>
        <w:jc w:val="left"/>
        <w:rPr>
          <w:lang w:val="fr-BE" w:eastAsia="en-AU"/>
        </w:rPr>
      </w:pPr>
      <w:r w:rsidRPr="00916F40">
        <w:rPr>
          <w:lang w:val="fr-BE" w:eastAsia="en-AU"/>
        </w:rPr>
        <w:t xml:space="preserve">Nos employés et sous-traitants sont régulièrement sensibilisés aux </w:t>
      </w:r>
      <w:r>
        <w:rPr>
          <w:lang w:val="fr-BE" w:eastAsia="en-AU"/>
        </w:rPr>
        <w:t xml:space="preserve">risques en matière de cybersécurité </w:t>
      </w:r>
      <w:r w:rsidRPr="00916F40">
        <w:rPr>
          <w:lang w:val="fr-BE" w:eastAsia="en-AU"/>
        </w:rPr>
        <w:t xml:space="preserve">et menaces auxquels ils peuvent être confrontés et à la manière de réagir en cas d'activité suspecte.  Les </w:t>
      </w:r>
      <w:r w:rsidRPr="00916F40">
        <w:rPr>
          <w:b/>
          <w:bCs/>
          <w:lang w:val="fr-BE" w:eastAsia="en-AU"/>
        </w:rPr>
        <w:t xml:space="preserve">10 règles d'or de la cybersécurité </w:t>
      </w:r>
      <w:r w:rsidRPr="00916F40">
        <w:rPr>
          <w:lang w:val="fr-BE" w:eastAsia="en-AU"/>
        </w:rPr>
        <w:t>sont communiquées et chaque employé ou sous-traitant doit s'engager à les respecter.</w:t>
      </w:r>
    </w:p>
    <w:p w14:paraId="3CBA78A3" w14:textId="77777777" w:rsidR="00DC039C" w:rsidRPr="00916F40" w:rsidRDefault="001150CA">
      <w:pPr>
        <w:pStyle w:val="BodyText"/>
        <w:numPr>
          <w:ilvl w:val="0"/>
          <w:numId w:val="44"/>
        </w:numPr>
        <w:rPr>
          <w:lang w:val="fr-BE" w:eastAsia="en-AU"/>
        </w:rPr>
      </w:pPr>
      <w:r w:rsidRPr="00916F40">
        <w:rPr>
          <w:lang w:val="fr-BE" w:eastAsia="en-AU"/>
        </w:rPr>
        <w:t xml:space="preserve">Une bonne gestion de l'accès est mise en place en tenant compte des éléments suivants </w:t>
      </w:r>
    </w:p>
    <w:p w14:paraId="58B2E905" w14:textId="77777777" w:rsidR="00DC039C" w:rsidRDefault="001150CA">
      <w:pPr>
        <w:pStyle w:val="BodyText"/>
        <w:numPr>
          <w:ilvl w:val="1"/>
          <w:numId w:val="44"/>
        </w:numPr>
        <w:rPr>
          <w:lang w:val="nl-BE" w:eastAsia="en-AU"/>
        </w:rPr>
      </w:pPr>
      <w:r w:rsidRPr="007D6A36">
        <w:rPr>
          <w:lang w:val="nl-BE" w:eastAsia="en-AU"/>
        </w:rPr>
        <w:t>Authentification multifactorielle.</w:t>
      </w:r>
    </w:p>
    <w:p w14:paraId="62A23C8E" w14:textId="77777777" w:rsidR="00DC039C" w:rsidRPr="00916F40" w:rsidRDefault="001150CA">
      <w:pPr>
        <w:pStyle w:val="BodyText"/>
        <w:numPr>
          <w:ilvl w:val="1"/>
          <w:numId w:val="44"/>
        </w:numPr>
        <w:rPr>
          <w:lang w:val="fr-BE" w:eastAsia="en-AU"/>
        </w:rPr>
      </w:pPr>
      <w:r w:rsidRPr="00916F40">
        <w:rPr>
          <w:lang w:val="fr-BE" w:eastAsia="en-AU"/>
        </w:rPr>
        <w:t>Accès minimum. Les politiques détaillées sont décrites dans la politique d'accès.</w:t>
      </w:r>
    </w:p>
    <w:p w14:paraId="04FA0854" w14:textId="77777777" w:rsidR="00DC039C" w:rsidRPr="00916F40" w:rsidRDefault="001150CA">
      <w:pPr>
        <w:pStyle w:val="BodyText"/>
        <w:numPr>
          <w:ilvl w:val="1"/>
          <w:numId w:val="44"/>
        </w:numPr>
        <w:rPr>
          <w:lang w:val="fr-BE" w:eastAsia="en-AU"/>
        </w:rPr>
      </w:pPr>
      <w:r w:rsidRPr="00916F40">
        <w:rPr>
          <w:lang w:val="fr-BE" w:eastAsia="en-AU"/>
        </w:rPr>
        <w:t>Mots de passe suffisamment forts La politique détaillée est décrite dans la politique relative aux mots de passe.</w:t>
      </w:r>
    </w:p>
    <w:p w14:paraId="071E31D8" w14:textId="77777777" w:rsidR="00DC039C" w:rsidRPr="00916F40" w:rsidRDefault="001150CA">
      <w:pPr>
        <w:pStyle w:val="BodyText"/>
        <w:numPr>
          <w:ilvl w:val="1"/>
          <w:numId w:val="44"/>
        </w:numPr>
        <w:rPr>
          <w:lang w:val="fr-BE" w:eastAsia="en-AU"/>
        </w:rPr>
      </w:pPr>
      <w:r w:rsidRPr="00916F40">
        <w:rPr>
          <w:lang w:val="fr-BE" w:eastAsia="en-AU"/>
        </w:rPr>
        <w:t>Les systèmes critiques et confidentiels doivent au moins réussir à se connecter et à se déconnecter.</w:t>
      </w:r>
    </w:p>
    <w:p w14:paraId="2C6AEF35" w14:textId="77777777" w:rsidR="00DC039C" w:rsidRPr="00916F40" w:rsidRDefault="001150CA">
      <w:pPr>
        <w:pStyle w:val="BodyText"/>
        <w:numPr>
          <w:ilvl w:val="0"/>
          <w:numId w:val="44"/>
        </w:numPr>
        <w:rPr>
          <w:lang w:val="fr-BE" w:eastAsia="en-AU"/>
        </w:rPr>
      </w:pPr>
      <w:r w:rsidRPr="00916F40">
        <w:rPr>
          <w:lang w:val="fr-BE" w:eastAsia="en-AU"/>
        </w:rPr>
        <w:t>Il doit exister une procédure de récupération des systèmes critiques en cas de sinistre. Une procédure doit être mise en place pour restaurer les documents ou enregistrements critiques s'ils sont accidentellement supprimés. Les politiques détaillées sont décrites dans le document "Politique de sauvegarde et de récupération".</w:t>
      </w:r>
    </w:p>
    <w:p w14:paraId="1D677F86" w14:textId="60326167" w:rsidR="00DC039C" w:rsidRPr="00916F40" w:rsidRDefault="001150CA">
      <w:pPr>
        <w:pStyle w:val="BodyText"/>
        <w:numPr>
          <w:ilvl w:val="0"/>
          <w:numId w:val="44"/>
        </w:numPr>
        <w:jc w:val="left"/>
        <w:rPr>
          <w:lang w:val="fr-BE" w:eastAsia="en-AU"/>
        </w:rPr>
      </w:pPr>
      <w:r w:rsidRPr="00916F40">
        <w:rPr>
          <w:lang w:val="fr-BE" w:eastAsia="en-AU"/>
        </w:rPr>
        <w:t xml:space="preserve">Un plan d'intervention doit être mis en place dans le cadre des </w:t>
      </w:r>
      <w:r>
        <w:rPr>
          <w:lang w:val="fr-BE" w:eastAsia="en-AU"/>
        </w:rPr>
        <w:t>incidents cybernétiques</w:t>
      </w:r>
      <w:r w:rsidRPr="00916F40">
        <w:rPr>
          <w:lang w:val="fr-BE" w:eastAsia="en-AU"/>
        </w:rPr>
        <w:t>.</w:t>
      </w:r>
    </w:p>
    <w:p w14:paraId="27A47F63" w14:textId="77777777" w:rsidR="008D2408" w:rsidRPr="00916F40" w:rsidRDefault="008D2408" w:rsidP="008D2408">
      <w:pPr>
        <w:pStyle w:val="BodyText"/>
        <w:jc w:val="left"/>
        <w:rPr>
          <w:lang w:val="fr-BE" w:eastAsia="en-AU"/>
        </w:rPr>
      </w:pPr>
    </w:p>
    <w:p w14:paraId="26940528" w14:textId="77777777" w:rsidR="00DC039C" w:rsidRPr="00916F40" w:rsidRDefault="001150CA">
      <w:pPr>
        <w:pStyle w:val="BodyText"/>
        <w:jc w:val="left"/>
        <w:rPr>
          <w:lang w:val="fr-BE" w:eastAsia="en-AU"/>
        </w:rPr>
      </w:pPr>
      <w:r w:rsidRPr="00916F40">
        <w:rPr>
          <w:lang w:val="fr-BE" w:eastAsia="en-AU"/>
        </w:rPr>
        <w:t xml:space="preserve">Le présent document d'orientation fait partie d'un ensemble de documents d'orientation destinés à aider </w:t>
      </w:r>
      <w:r w:rsidRPr="00916F40">
        <w:rPr>
          <w:b/>
          <w:bCs/>
          <w:color w:val="60BCCF"/>
          <w:lang w:val="fr-BE" w:eastAsia="en-AU"/>
        </w:rPr>
        <w:t>[l'organisation]</w:t>
      </w:r>
      <w:r w:rsidRPr="00916F40">
        <w:rPr>
          <w:lang w:val="fr-BE" w:eastAsia="en-AU"/>
        </w:rPr>
        <w:t xml:space="preserve"> à mettre en place une stratégie solide en matière de cybersécurité.</w:t>
      </w:r>
    </w:p>
    <w:sectPr w:rsidR="00DC039C" w:rsidRPr="00916F40"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805F" w14:textId="77777777" w:rsidR="00A55F46" w:rsidRDefault="00A55F46" w:rsidP="004171AE">
      <w:r>
        <w:separator/>
      </w:r>
    </w:p>
  </w:endnote>
  <w:endnote w:type="continuationSeparator" w:id="0">
    <w:p w14:paraId="1CC73F61" w14:textId="77777777" w:rsidR="00A55F46" w:rsidRDefault="00A55F46"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130C9BE" w14:textId="77777777" w:rsidR="00DC039C" w:rsidRDefault="001150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54CAB992" w14:textId="77777777" w:rsidR="00DC039C" w:rsidRDefault="001150CA">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003DF4C1" w14:textId="77777777" w:rsidR="00DC039C" w:rsidRDefault="001150CA">
    <w:pPr>
      <w:pStyle w:val="Paragraphestandard"/>
      <w:spacing w:after="124"/>
      <w:ind w:right="701"/>
      <w:jc w:val="right"/>
      <w:rPr>
        <w:rFonts w:ascii="Lato Medium" w:hAnsi="Lato Medium" w:cs="Lato Medium"/>
        <w:color w:val="3B448C"/>
        <w:sz w:val="20"/>
        <w:szCs w:val="20"/>
      </w:rPr>
    </w:pPr>
    <w:r w:rsidRPr="00916F40">
      <w:rPr>
        <w:rFonts w:ascii="Arial" w:hAnsi="Arial" w:cs="Arial"/>
        <w:color w:val="6782B4" w:themeColor="accent2"/>
        <w:sz w:val="20"/>
        <w:szCs w:val="20"/>
        <w:lang w:val="fr-BE"/>
      </w:rPr>
      <w:t xml:space="preserve">Politique de </w:t>
    </w:r>
    <w:r w:rsidR="00C36D02" w:rsidRPr="00916F40">
      <w:rPr>
        <w:rFonts w:ascii="Arial" w:hAnsi="Arial" w:cs="Arial"/>
        <w:color w:val="6782B4" w:themeColor="accent2"/>
        <w:sz w:val="20"/>
        <w:szCs w:val="20"/>
        <w:lang w:val="fr-BE"/>
      </w:rPr>
      <w:t xml:space="preserve">cybersécurité (BASIC) </w:t>
    </w:r>
    <w:r w:rsidR="005D03F1" w:rsidRPr="00916F40">
      <w:rPr>
        <w:rFonts w:ascii="Arial" w:hAnsi="Arial" w:cs="Arial"/>
        <w:color w:val="35457F" w:themeColor="text2"/>
        <w:sz w:val="20"/>
        <w:szCs w:val="20"/>
        <w:lang w:val="fr-BE"/>
      </w:rPr>
      <w:t xml:space="preserve">- </w:t>
    </w:r>
    <w:r w:rsidR="00DE6108" w:rsidRPr="00DE6108">
      <w:rPr>
        <w:rFonts w:ascii="Lato Thin" w:hAnsi="Lato Thin" w:cs="Lato Thin"/>
        <w:noProof/>
        <w:color w:val="35457F" w:themeColor="text2"/>
        <w:sz w:val="20"/>
        <w:szCs w:val="20"/>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428A" w14:textId="77777777" w:rsidR="00DC039C" w:rsidRDefault="001150CA">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2CF2" w14:textId="77777777" w:rsidR="00A55F46" w:rsidRDefault="00A55F46" w:rsidP="004171AE">
      <w:r>
        <w:separator/>
      </w:r>
    </w:p>
  </w:footnote>
  <w:footnote w:type="continuationSeparator" w:id="0">
    <w:p w14:paraId="345596B9" w14:textId="77777777" w:rsidR="00A55F46" w:rsidRDefault="00A55F46"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E46E" w14:textId="77777777" w:rsidR="00DC039C" w:rsidRDefault="001150CA">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012A41"/>
    <w:multiLevelType w:val="hybridMultilevel"/>
    <w:tmpl w:val="6A48CB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6"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068398E"/>
    <w:multiLevelType w:val="hybridMultilevel"/>
    <w:tmpl w:val="B25298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8"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5"/>
  </w:num>
  <w:num w:numId="4" w16cid:durableId="1977946518">
    <w:abstractNumId w:val="33"/>
  </w:num>
  <w:num w:numId="5" w16cid:durableId="993798016">
    <w:abstractNumId w:val="14"/>
  </w:num>
  <w:num w:numId="6" w16cid:durableId="333145513">
    <w:abstractNumId w:val="32"/>
  </w:num>
  <w:num w:numId="7" w16cid:durableId="1912960047">
    <w:abstractNumId w:val="5"/>
  </w:num>
  <w:num w:numId="8" w16cid:durableId="917709478">
    <w:abstractNumId w:val="34"/>
  </w:num>
  <w:num w:numId="9" w16cid:durableId="1732003305">
    <w:abstractNumId w:val="9"/>
  </w:num>
  <w:num w:numId="10" w16cid:durableId="1111168895">
    <w:abstractNumId w:val="24"/>
  </w:num>
  <w:num w:numId="11" w16cid:durableId="345986576">
    <w:abstractNumId w:val="41"/>
  </w:num>
  <w:num w:numId="12" w16cid:durableId="685787629">
    <w:abstractNumId w:val="30"/>
  </w:num>
  <w:num w:numId="13" w16cid:durableId="724836360">
    <w:abstractNumId w:val="4"/>
  </w:num>
  <w:num w:numId="14" w16cid:durableId="46221904">
    <w:abstractNumId w:val="17"/>
  </w:num>
  <w:num w:numId="15" w16cid:durableId="300548602">
    <w:abstractNumId w:val="2"/>
  </w:num>
  <w:num w:numId="16" w16cid:durableId="1251963789">
    <w:abstractNumId w:val="27"/>
  </w:num>
  <w:num w:numId="17" w16cid:durableId="1825774094">
    <w:abstractNumId w:val="20"/>
  </w:num>
  <w:num w:numId="18" w16cid:durableId="1456752724">
    <w:abstractNumId w:val="10"/>
  </w:num>
  <w:num w:numId="19" w16cid:durableId="28384239">
    <w:abstractNumId w:val="26"/>
  </w:num>
  <w:num w:numId="20" w16cid:durableId="1767270444">
    <w:abstractNumId w:val="18"/>
  </w:num>
  <w:num w:numId="21" w16cid:durableId="1870945772">
    <w:abstractNumId w:val="35"/>
  </w:num>
  <w:num w:numId="22" w16cid:durableId="362898937">
    <w:abstractNumId w:val="23"/>
  </w:num>
  <w:num w:numId="23" w16cid:durableId="351340801">
    <w:abstractNumId w:val="13"/>
  </w:num>
  <w:num w:numId="24" w16cid:durableId="1268927857">
    <w:abstractNumId w:val="22"/>
  </w:num>
  <w:num w:numId="25" w16cid:durableId="2028678990">
    <w:abstractNumId w:val="1"/>
  </w:num>
  <w:num w:numId="26" w16cid:durableId="892542817">
    <w:abstractNumId w:val="1"/>
  </w:num>
  <w:num w:numId="27" w16cid:durableId="1085808798">
    <w:abstractNumId w:val="12"/>
  </w:num>
  <w:num w:numId="28" w16cid:durableId="1429154428">
    <w:abstractNumId w:val="16"/>
  </w:num>
  <w:num w:numId="29" w16cid:durableId="195235211">
    <w:abstractNumId w:val="28"/>
  </w:num>
  <w:num w:numId="30" w16cid:durableId="1227450468">
    <w:abstractNumId w:val="6"/>
  </w:num>
  <w:num w:numId="31" w16cid:durableId="949704253">
    <w:abstractNumId w:val="21"/>
  </w:num>
  <w:num w:numId="32" w16cid:durableId="2068797505">
    <w:abstractNumId w:val="40"/>
  </w:num>
  <w:num w:numId="33" w16cid:durableId="1089086482">
    <w:abstractNumId w:val="8"/>
  </w:num>
  <w:num w:numId="34" w16cid:durableId="914165014">
    <w:abstractNumId w:val="25"/>
  </w:num>
  <w:num w:numId="35" w16cid:durableId="245268141">
    <w:abstractNumId w:val="3"/>
  </w:num>
  <w:num w:numId="36" w16cid:durableId="653800277">
    <w:abstractNumId w:val="37"/>
  </w:num>
  <w:num w:numId="37" w16cid:durableId="1937595572">
    <w:abstractNumId w:val="29"/>
  </w:num>
  <w:num w:numId="38" w16cid:durableId="24794664">
    <w:abstractNumId w:val="36"/>
  </w:num>
  <w:num w:numId="39" w16cid:durableId="1458062820">
    <w:abstractNumId w:val="38"/>
  </w:num>
  <w:num w:numId="40" w16cid:durableId="2076857560">
    <w:abstractNumId w:val="19"/>
  </w:num>
  <w:num w:numId="41" w16cid:durableId="1690132939">
    <w:abstractNumId w:val="39"/>
  </w:num>
  <w:num w:numId="42" w16cid:durableId="1838760614">
    <w:abstractNumId w:val="11"/>
  </w:num>
  <w:num w:numId="43" w16cid:durableId="1607807309">
    <w:abstractNumId w:val="7"/>
  </w:num>
  <w:num w:numId="44" w16cid:durableId="100806461">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96127"/>
    <w:rsid w:val="00096E78"/>
    <w:rsid w:val="00097A7D"/>
    <w:rsid w:val="000A6D35"/>
    <w:rsid w:val="000B0A66"/>
    <w:rsid w:val="000B1520"/>
    <w:rsid w:val="000C6738"/>
    <w:rsid w:val="000C7AA5"/>
    <w:rsid w:val="000D69F4"/>
    <w:rsid w:val="000D7618"/>
    <w:rsid w:val="000E3DA1"/>
    <w:rsid w:val="000F086A"/>
    <w:rsid w:val="000F1283"/>
    <w:rsid w:val="000F262A"/>
    <w:rsid w:val="000F4D66"/>
    <w:rsid w:val="00100F1A"/>
    <w:rsid w:val="00102293"/>
    <w:rsid w:val="00104797"/>
    <w:rsid w:val="001150CA"/>
    <w:rsid w:val="00117D2D"/>
    <w:rsid w:val="00122D13"/>
    <w:rsid w:val="001241FD"/>
    <w:rsid w:val="00141B30"/>
    <w:rsid w:val="00142007"/>
    <w:rsid w:val="0015404C"/>
    <w:rsid w:val="00155EA5"/>
    <w:rsid w:val="0015768E"/>
    <w:rsid w:val="001607A8"/>
    <w:rsid w:val="00165D81"/>
    <w:rsid w:val="0017110A"/>
    <w:rsid w:val="0017421C"/>
    <w:rsid w:val="00175B18"/>
    <w:rsid w:val="00175FDD"/>
    <w:rsid w:val="001808F1"/>
    <w:rsid w:val="00181E37"/>
    <w:rsid w:val="001823BB"/>
    <w:rsid w:val="00182C32"/>
    <w:rsid w:val="00187D51"/>
    <w:rsid w:val="00193FFC"/>
    <w:rsid w:val="00194F03"/>
    <w:rsid w:val="001956B5"/>
    <w:rsid w:val="00197534"/>
    <w:rsid w:val="001B770C"/>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B37E8"/>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75C8B"/>
    <w:rsid w:val="00385C8E"/>
    <w:rsid w:val="00395F54"/>
    <w:rsid w:val="0039620F"/>
    <w:rsid w:val="00397F84"/>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345C"/>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54600"/>
    <w:rsid w:val="00555DDB"/>
    <w:rsid w:val="0057197E"/>
    <w:rsid w:val="00574969"/>
    <w:rsid w:val="00580C14"/>
    <w:rsid w:val="00583A11"/>
    <w:rsid w:val="00592124"/>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D6A36"/>
    <w:rsid w:val="007F17CB"/>
    <w:rsid w:val="007F7B05"/>
    <w:rsid w:val="008007F7"/>
    <w:rsid w:val="0080469A"/>
    <w:rsid w:val="008112B5"/>
    <w:rsid w:val="008167BC"/>
    <w:rsid w:val="00817BB5"/>
    <w:rsid w:val="00817CD8"/>
    <w:rsid w:val="00826F63"/>
    <w:rsid w:val="008303DE"/>
    <w:rsid w:val="00831748"/>
    <w:rsid w:val="00844C70"/>
    <w:rsid w:val="008747A7"/>
    <w:rsid w:val="008B579A"/>
    <w:rsid w:val="008C0435"/>
    <w:rsid w:val="008C102F"/>
    <w:rsid w:val="008D2408"/>
    <w:rsid w:val="008D4D1C"/>
    <w:rsid w:val="008D7A30"/>
    <w:rsid w:val="008E3ACA"/>
    <w:rsid w:val="008E7E03"/>
    <w:rsid w:val="008F620D"/>
    <w:rsid w:val="008F76CB"/>
    <w:rsid w:val="00902A2B"/>
    <w:rsid w:val="00907192"/>
    <w:rsid w:val="00910A0F"/>
    <w:rsid w:val="00916F40"/>
    <w:rsid w:val="00927D09"/>
    <w:rsid w:val="0093075F"/>
    <w:rsid w:val="00932CE6"/>
    <w:rsid w:val="00942883"/>
    <w:rsid w:val="00947700"/>
    <w:rsid w:val="009536D5"/>
    <w:rsid w:val="00954CC5"/>
    <w:rsid w:val="00961F7C"/>
    <w:rsid w:val="00965E09"/>
    <w:rsid w:val="00967417"/>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5F46"/>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E23CA"/>
    <w:rsid w:val="00BE2B70"/>
    <w:rsid w:val="00BE7F61"/>
    <w:rsid w:val="00C001A2"/>
    <w:rsid w:val="00C1220A"/>
    <w:rsid w:val="00C20616"/>
    <w:rsid w:val="00C2417C"/>
    <w:rsid w:val="00C317E1"/>
    <w:rsid w:val="00C34201"/>
    <w:rsid w:val="00C350ED"/>
    <w:rsid w:val="00C36D02"/>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039C"/>
    <w:rsid w:val="00DC40A1"/>
    <w:rsid w:val="00DC5630"/>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36E01"/>
    <w:rsid w:val="00E4469A"/>
    <w:rsid w:val="00E46364"/>
    <w:rsid w:val="00E513E6"/>
    <w:rsid w:val="00E5384A"/>
    <w:rsid w:val="00E57AB1"/>
    <w:rsid w:val="00E624C7"/>
    <w:rsid w:val="00E777B9"/>
    <w:rsid w:val="00E93983"/>
    <w:rsid w:val="00E96781"/>
    <w:rsid w:val="00EA0ABC"/>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0E951961-3EBC-4EB8-BEDA-0AB9E2F20008}"/>
</file>

<file path=customXml/itemProps3.xml><?xml version="1.0" encoding="utf-8"?>
<ds:datastoreItem xmlns:ds="http://schemas.openxmlformats.org/officeDocument/2006/customXml" ds:itemID="{3E3DD7F3-7AAA-4323-ABF0-96A9E6DBF89D}">
  <ds:schemaRefs>
    <ds:schemaRef ds:uri="http://schemas.microsoft.com/office/2006/documentManagement/types"/>
    <ds:schemaRef ds:uri="http://purl.org/dc/elements/1.1/"/>
    <ds:schemaRef ds:uri="48df5784-83fe-46ae-8d25-fce6a602c372"/>
    <ds:schemaRef ds:uri="http://www.w3.org/XML/1998/namespace"/>
    <ds:schemaRef ds:uri="http://purl.org/dc/term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931</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docId:E54A72223987BE88AA35762054933EA4</cp:keywords>
  <dc:description/>
  <cp:lastModifiedBy>Jean Kervyn de Meerendré</cp:lastModifiedBy>
  <cp:revision>50</cp:revision>
  <dcterms:created xsi:type="dcterms:W3CDTF">2024-01-25T14:53:00Z</dcterms:created>
  <dcterms:modified xsi:type="dcterms:W3CDTF">2024-03-06T16:31:00Z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