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2AFC" w14:textId="77777777" w:rsidR="0004068B" w:rsidRDefault="007F2B52" w:rsidP="007F2B52">
      <w:pPr>
        <w:jc w:val="both"/>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5DFECF0D" w14:textId="24BC9D23" w:rsidR="0004068B" w:rsidRPr="007F2B52" w:rsidRDefault="007F2B52" w:rsidP="007F2B52">
      <w:pPr>
        <w:pStyle w:val="Title"/>
        <w:jc w:val="both"/>
        <w:rPr>
          <w:lang w:val="fr-BE"/>
        </w:rPr>
      </w:pPr>
      <w:r w:rsidRPr="00C85E86">
        <w:rPr>
          <w:rFonts w:ascii="Lato Thin" w:hAnsi="Lato Thin" w:cs="Lato Thin"/>
          <w:noProof/>
          <w:color w:val="3B448C"/>
          <w:sz w:val="20"/>
          <w:szCs w:val="20"/>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C85E86">
        <w:rPr>
          <w:rFonts w:ascii="Lato Thin" w:hAnsi="Lato Thin" w:cs="Lato Thin"/>
          <w:noProof/>
          <w:color w:val="3B448C"/>
          <w:sz w:val="20"/>
          <w:szCs w:val="20"/>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E31079" w:rsidRPr="007F2B52">
        <w:rPr>
          <w:lang w:val="fr-BE"/>
        </w:rPr>
        <w:t xml:space="preserve">Politique </w:t>
      </w:r>
      <w:r w:rsidR="00E062A2" w:rsidRPr="007F2B52">
        <w:rPr>
          <w:lang w:val="fr-BE"/>
        </w:rPr>
        <w:t xml:space="preserve">de gestion des droits </w:t>
      </w:r>
      <w:r w:rsidR="00E31079" w:rsidRPr="007F2B52">
        <w:rPr>
          <w:lang w:val="fr-BE"/>
        </w:rPr>
        <w:t xml:space="preserve">d'accès </w:t>
      </w:r>
    </w:p>
    <w:p w14:paraId="135A06D5" w14:textId="77777777" w:rsidR="0004068B" w:rsidRPr="00E062A2" w:rsidRDefault="007F2B52" w:rsidP="007F2B52">
      <w:pPr>
        <w:pStyle w:val="Coversous-titre"/>
        <w:jc w:val="both"/>
        <w:rPr>
          <w:noProof/>
          <w:lang w:val="fr-BE"/>
        </w:rPr>
      </w:pPr>
      <w:r w:rsidRPr="00E062A2">
        <w:rPr>
          <w:lang w:val="fr-BE"/>
        </w:rPr>
        <w:t xml:space="preserve"> Modèle</w:t>
      </w:r>
    </w:p>
    <w:p w14:paraId="7FC4DC70" w14:textId="77777777" w:rsidR="0004068B" w:rsidRPr="00E062A2" w:rsidRDefault="007F2B52" w:rsidP="007F2B52">
      <w:pPr>
        <w:pStyle w:val="Heading1"/>
        <w:jc w:val="both"/>
        <w:rPr>
          <w:lang w:val="fr-BE"/>
        </w:rPr>
      </w:pPr>
      <w:bookmarkStart w:id="0" w:name="_Toc157092842"/>
      <w:r w:rsidRPr="00E062A2">
        <w:rPr>
          <w:lang w:val="fr-BE"/>
        </w:rPr>
        <w:lastRenderedPageBreak/>
        <w:t>Autorité et révision</w:t>
      </w:r>
      <w:bookmarkEnd w:id="0"/>
    </w:p>
    <w:p w14:paraId="3E49A455" w14:textId="77777777" w:rsidR="0004068B" w:rsidRPr="00E062A2" w:rsidRDefault="007F2B52" w:rsidP="007F2B52">
      <w:pPr>
        <w:pStyle w:val="Heading2"/>
        <w:jc w:val="both"/>
        <w:rPr>
          <w:lang w:val="fr-BE"/>
        </w:rPr>
      </w:pPr>
      <w:bookmarkStart w:id="1" w:name="_Toc157092843"/>
      <w:r w:rsidRPr="00E062A2">
        <w:rPr>
          <w:lang w:val="fr-BE"/>
        </w:rPr>
        <w:t>Contrôle et révision des documents</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2A321D3C" w14:textId="77777777" w:rsidR="0004068B" w:rsidRDefault="007F2B52" w:rsidP="007F2B52">
            <w:pPr>
              <w:jc w:val="both"/>
              <w:rPr>
                <w:b/>
                <w:color w:val="FFFFFF" w:themeColor="background1"/>
                <w:lang w:val="nl-BE"/>
              </w:rPr>
            </w:pPr>
            <w:proofErr w:type="spellStart"/>
            <w:r w:rsidRPr="00C85E86">
              <w:rPr>
                <w:b/>
                <w:color w:val="FFFFFF" w:themeColor="background1"/>
                <w:lang w:val="nl-BE"/>
              </w:rPr>
              <w:t>Vérification</w:t>
            </w:r>
            <w:proofErr w:type="spellEnd"/>
            <w:r w:rsidRPr="00C85E86">
              <w:rPr>
                <w:b/>
                <w:color w:val="FFFFFF" w:themeColor="background1"/>
                <w:lang w:val="nl-BE"/>
              </w:rPr>
              <w:t xml:space="preserve"> des </w:t>
            </w:r>
            <w:proofErr w:type="spellStart"/>
            <w:r w:rsidRPr="00C85E86">
              <w:rPr>
                <w:b/>
                <w:color w:val="FFFFFF" w:themeColor="background1"/>
                <w:lang w:val="nl-BE"/>
              </w:rPr>
              <w:t>documents</w:t>
            </w:r>
            <w:proofErr w:type="spellEnd"/>
            <w:r w:rsidRPr="00C85E86">
              <w:rPr>
                <w:b/>
                <w:color w:val="FFFFFF" w:themeColor="background1"/>
                <w:lang w:val="nl-BE"/>
              </w:rPr>
              <w:t xml:space="preserve">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7F2B52">
            <w:pPr>
              <w:jc w:val="both"/>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5F983DCB" w14:textId="77777777" w:rsidR="0004068B" w:rsidRDefault="007F2B52" w:rsidP="007F2B52">
            <w:pPr>
              <w:jc w:val="both"/>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7F2B52">
            <w:pPr>
              <w:jc w:val="both"/>
              <w:rPr>
                <w:b/>
                <w:lang w:val="nl-BE"/>
              </w:rPr>
            </w:pPr>
          </w:p>
        </w:tc>
      </w:tr>
      <w:tr w:rsidR="00CA1946" w:rsidRPr="00C85E86" w14:paraId="4A601580" w14:textId="77777777" w:rsidTr="006247AE">
        <w:trPr>
          <w:trHeight w:val="283"/>
        </w:trPr>
        <w:tc>
          <w:tcPr>
            <w:tcW w:w="2696" w:type="dxa"/>
            <w:vAlign w:val="center"/>
          </w:tcPr>
          <w:p w14:paraId="6E877B05" w14:textId="77777777" w:rsidR="0004068B" w:rsidRDefault="007F2B52" w:rsidP="007F2B52">
            <w:pPr>
              <w:jc w:val="both"/>
              <w:rPr>
                <w:bCs/>
                <w:lang w:val="nl-BE"/>
              </w:rPr>
            </w:pPr>
            <w:r w:rsidRPr="00C85E86">
              <w:rPr>
                <w:bCs/>
                <w:lang w:val="nl-BE"/>
              </w:rPr>
              <w:t>Propriétaire</w:t>
            </w:r>
          </w:p>
        </w:tc>
        <w:tc>
          <w:tcPr>
            <w:tcW w:w="6366" w:type="dxa"/>
            <w:vAlign w:val="center"/>
          </w:tcPr>
          <w:p w14:paraId="288D28B9" w14:textId="77777777" w:rsidR="00CA1946" w:rsidRPr="00C85E86" w:rsidRDefault="00CA1946" w:rsidP="007F2B52">
            <w:pPr>
              <w:jc w:val="both"/>
              <w:rPr>
                <w:b/>
                <w:lang w:val="nl-BE"/>
              </w:rPr>
            </w:pPr>
          </w:p>
        </w:tc>
      </w:tr>
      <w:tr w:rsidR="00CA1946" w:rsidRPr="00C85E86" w14:paraId="4603F3D4" w14:textId="77777777" w:rsidTr="006247AE">
        <w:trPr>
          <w:trHeight w:val="283"/>
        </w:trPr>
        <w:tc>
          <w:tcPr>
            <w:tcW w:w="2696" w:type="dxa"/>
            <w:vAlign w:val="center"/>
          </w:tcPr>
          <w:p w14:paraId="5E876CB2" w14:textId="77777777" w:rsidR="0004068B" w:rsidRDefault="007F2B52" w:rsidP="007F2B52">
            <w:pPr>
              <w:jc w:val="both"/>
              <w:rPr>
                <w:bCs/>
                <w:lang w:val="nl-BE"/>
              </w:rPr>
            </w:pPr>
            <w:r w:rsidRPr="00C85E86">
              <w:rPr>
                <w:bCs/>
                <w:lang w:val="nl-BE"/>
              </w:rPr>
              <w:t>Date de création</w:t>
            </w:r>
          </w:p>
        </w:tc>
        <w:tc>
          <w:tcPr>
            <w:tcW w:w="6366" w:type="dxa"/>
            <w:vAlign w:val="center"/>
          </w:tcPr>
          <w:p w14:paraId="38DB0963" w14:textId="77777777" w:rsidR="00CA1946" w:rsidRPr="00C85E86" w:rsidRDefault="00CA1946" w:rsidP="007F2B52">
            <w:pPr>
              <w:jc w:val="both"/>
              <w:rPr>
                <w:b/>
                <w:lang w:val="nl-BE"/>
              </w:rPr>
            </w:pPr>
          </w:p>
        </w:tc>
      </w:tr>
      <w:tr w:rsidR="00CA1946" w:rsidRPr="00C85E86" w14:paraId="0E6BE0FE" w14:textId="77777777" w:rsidTr="006247AE">
        <w:trPr>
          <w:trHeight w:val="283"/>
        </w:trPr>
        <w:tc>
          <w:tcPr>
            <w:tcW w:w="2696" w:type="dxa"/>
            <w:vAlign w:val="center"/>
          </w:tcPr>
          <w:p w14:paraId="0C61C880" w14:textId="77777777" w:rsidR="0004068B" w:rsidRDefault="007F2B52" w:rsidP="007F2B52">
            <w:pPr>
              <w:jc w:val="both"/>
              <w:rPr>
                <w:bCs/>
                <w:lang w:val="nl-BE"/>
              </w:rPr>
            </w:pPr>
            <w:r w:rsidRPr="00C85E86">
              <w:rPr>
                <w:bCs/>
                <w:lang w:val="nl-BE"/>
              </w:rPr>
              <w:t xml:space="preserve">Dernière révision par </w:t>
            </w:r>
          </w:p>
        </w:tc>
        <w:tc>
          <w:tcPr>
            <w:tcW w:w="6366" w:type="dxa"/>
            <w:vAlign w:val="center"/>
          </w:tcPr>
          <w:p w14:paraId="4CCA7809" w14:textId="77777777" w:rsidR="00CA1946" w:rsidRPr="00C85E86" w:rsidRDefault="00CA1946" w:rsidP="007F2B52">
            <w:pPr>
              <w:jc w:val="both"/>
              <w:rPr>
                <w:b/>
                <w:lang w:val="nl-BE"/>
              </w:rPr>
            </w:pPr>
          </w:p>
        </w:tc>
      </w:tr>
      <w:tr w:rsidR="00CA1946" w:rsidRPr="007F2B52" w14:paraId="50158E5B" w14:textId="77777777" w:rsidTr="006247AE">
        <w:trPr>
          <w:trHeight w:val="283"/>
        </w:trPr>
        <w:tc>
          <w:tcPr>
            <w:tcW w:w="2696" w:type="dxa"/>
            <w:vAlign w:val="center"/>
          </w:tcPr>
          <w:p w14:paraId="1E559631" w14:textId="77777777" w:rsidR="0004068B" w:rsidRPr="00E062A2" w:rsidRDefault="007F2B52" w:rsidP="007F2B52">
            <w:pPr>
              <w:jc w:val="both"/>
              <w:rPr>
                <w:bCs/>
                <w:lang w:val="fr-BE"/>
              </w:rPr>
            </w:pPr>
            <w:r w:rsidRPr="00E062A2">
              <w:rPr>
                <w:bCs/>
                <w:lang w:val="fr-BE"/>
              </w:rPr>
              <w:t xml:space="preserve">Date de la </w:t>
            </w:r>
            <w:r w:rsidRPr="00E062A2">
              <w:rPr>
                <w:bCs/>
                <w:lang w:val="fr-BE"/>
              </w:rPr>
              <w:t>dernière révision</w:t>
            </w:r>
          </w:p>
        </w:tc>
        <w:tc>
          <w:tcPr>
            <w:tcW w:w="6366" w:type="dxa"/>
            <w:vAlign w:val="center"/>
          </w:tcPr>
          <w:p w14:paraId="1B9F79EF" w14:textId="77777777" w:rsidR="00CA1946" w:rsidRPr="00E062A2" w:rsidRDefault="00CA1946" w:rsidP="007F2B52">
            <w:pPr>
              <w:jc w:val="both"/>
              <w:rPr>
                <w:b/>
                <w:lang w:val="fr-BE"/>
              </w:rPr>
            </w:pPr>
          </w:p>
        </w:tc>
      </w:tr>
    </w:tbl>
    <w:p w14:paraId="546F9869" w14:textId="77777777" w:rsidR="0004068B" w:rsidRDefault="007F2B52" w:rsidP="00425FD0">
      <w:pPr>
        <w:pStyle w:val="BodyText"/>
        <w:rPr>
          <w:lang w:val="nl-BE"/>
        </w:rPr>
      </w:pPr>
      <w:r w:rsidRPr="00C85E86">
        <w:rPr>
          <w:lang w:val="nl-BE"/>
        </w:rPr>
        <w:t>.</w:t>
      </w:r>
    </w:p>
    <w:p w14:paraId="5836E057" w14:textId="77777777" w:rsidR="0004068B" w:rsidRDefault="007F2B52" w:rsidP="007F2B52">
      <w:pPr>
        <w:pStyle w:val="Heading2"/>
        <w:jc w:val="both"/>
        <w:rPr>
          <w:lang w:val="nl-BE"/>
        </w:rPr>
      </w:pPr>
      <w:bookmarkStart w:id="2" w:name="_Toc157092844"/>
      <w:r w:rsidRPr="00C85E86">
        <w:rPr>
          <w:lang w:val="nl-BE"/>
        </w:rPr>
        <w:t>Gestion des versions</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13"/>
        <w:gridCol w:w="2718"/>
        <w:gridCol w:w="3516"/>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4C494E89" w14:textId="77777777" w:rsidR="0004068B" w:rsidRDefault="007F2B52" w:rsidP="007F2B52">
            <w:pPr>
              <w:jc w:val="both"/>
              <w:rPr>
                <w:b/>
                <w:color w:val="FFFFFF" w:themeColor="background1"/>
                <w:lang w:val="nl-BE"/>
              </w:rPr>
            </w:pPr>
            <w:r w:rsidRPr="00C85E86">
              <w:rPr>
                <w:b/>
                <w:color w:val="FFFFFF" w:themeColor="background1"/>
                <w:lang w:val="nl-B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356AAF2" w14:textId="77777777" w:rsidR="0004068B" w:rsidRDefault="007F2B52" w:rsidP="007F2B52">
            <w:pPr>
              <w:jc w:val="both"/>
              <w:rPr>
                <w:b/>
                <w:color w:val="FFFFFF" w:themeColor="background1"/>
                <w:lang w:val="nl-BE"/>
              </w:rPr>
            </w:pPr>
            <w:r w:rsidRPr="00C85E86">
              <w:rPr>
                <w:b/>
                <w:color w:val="FFFFFF" w:themeColor="background1"/>
                <w:lang w:val="nl-BE"/>
              </w:rPr>
              <w:t>Date d'approbation</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1EE8E334" w14:textId="77777777" w:rsidR="0004068B" w:rsidRDefault="007F2B52" w:rsidP="007F2B52">
            <w:pPr>
              <w:jc w:val="both"/>
              <w:rPr>
                <w:b/>
                <w:color w:val="FFFFFF" w:themeColor="background1"/>
                <w:lang w:val="nl-BE"/>
              </w:rPr>
            </w:pPr>
            <w:r w:rsidRPr="00C85E86">
              <w:rPr>
                <w:b/>
                <w:color w:val="FFFFFF" w:themeColor="background1"/>
                <w:lang w:val="nl-BE"/>
              </w:rPr>
              <w:t xml:space="preserve">Approuvé par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6760FAD6" w14:textId="77777777" w:rsidR="0004068B" w:rsidRDefault="007F2B52" w:rsidP="007F2B52">
            <w:pPr>
              <w:jc w:val="both"/>
              <w:rPr>
                <w:b/>
                <w:color w:val="FFFFFF" w:themeColor="background1"/>
                <w:lang w:val="nl-BE"/>
              </w:rPr>
            </w:pPr>
            <w:r w:rsidRPr="00C85E86">
              <w:rPr>
                <w:b/>
                <w:color w:val="FFFFFF" w:themeColor="background1"/>
                <w:lang w:val="nl-BE"/>
              </w:rPr>
              <w:t>Description du changement</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77777777" w:rsidR="00B35843" w:rsidRPr="00C85E86" w:rsidRDefault="00B35843" w:rsidP="007F2B52">
            <w:pPr>
              <w:jc w:val="both"/>
              <w:rPr>
                <w:lang w:val="nl-BE"/>
              </w:rPr>
            </w:pPr>
          </w:p>
        </w:tc>
        <w:tc>
          <w:tcPr>
            <w:tcW w:w="1982" w:type="dxa"/>
            <w:tcBorders>
              <w:top w:val="single" w:sz="4" w:space="0" w:color="007988"/>
            </w:tcBorders>
            <w:vAlign w:val="center"/>
          </w:tcPr>
          <w:p w14:paraId="3D44C8E2" w14:textId="77777777" w:rsidR="00B35843" w:rsidRPr="00C85E86" w:rsidRDefault="00B35843" w:rsidP="007F2B52">
            <w:pPr>
              <w:jc w:val="both"/>
              <w:rPr>
                <w:lang w:val="nl-BE"/>
              </w:rPr>
            </w:pPr>
          </w:p>
        </w:tc>
        <w:tc>
          <w:tcPr>
            <w:tcW w:w="2999" w:type="dxa"/>
            <w:tcBorders>
              <w:top w:val="single" w:sz="4" w:space="0" w:color="007988"/>
            </w:tcBorders>
          </w:tcPr>
          <w:p w14:paraId="12DB602B" w14:textId="77777777" w:rsidR="00B35843" w:rsidRPr="00C85E86" w:rsidRDefault="00B35843" w:rsidP="007F2B52">
            <w:pPr>
              <w:jc w:val="both"/>
              <w:rPr>
                <w:lang w:val="nl-BE"/>
              </w:rPr>
            </w:pPr>
          </w:p>
        </w:tc>
        <w:tc>
          <w:tcPr>
            <w:tcW w:w="3895" w:type="dxa"/>
            <w:tcBorders>
              <w:top w:val="single" w:sz="4" w:space="0" w:color="007988"/>
            </w:tcBorders>
            <w:vAlign w:val="center"/>
          </w:tcPr>
          <w:p w14:paraId="050511D7" w14:textId="77777777" w:rsidR="00B35843" w:rsidRPr="00C85E86" w:rsidRDefault="00B35843" w:rsidP="007F2B52">
            <w:pPr>
              <w:jc w:val="both"/>
              <w:rPr>
                <w:lang w:val="nl-BE"/>
              </w:rPr>
            </w:pPr>
          </w:p>
          <w:p w14:paraId="2E8A0BC5" w14:textId="77777777" w:rsidR="00B35843" w:rsidRPr="00C85E86" w:rsidRDefault="00B35843" w:rsidP="007F2B52">
            <w:pPr>
              <w:jc w:val="both"/>
              <w:rPr>
                <w:lang w:val="nl-BE"/>
              </w:rPr>
            </w:pPr>
          </w:p>
        </w:tc>
      </w:tr>
    </w:tbl>
    <w:p w14:paraId="6B8A1F8E" w14:textId="77777777" w:rsidR="00CA1946" w:rsidRPr="00C85E86" w:rsidRDefault="00CA1946" w:rsidP="007F2B52">
      <w:pPr>
        <w:jc w:val="both"/>
        <w:rPr>
          <w:lang w:val="nl-BE"/>
        </w:rPr>
      </w:pPr>
    </w:p>
    <w:p w14:paraId="2CE98BD7" w14:textId="77777777" w:rsidR="00CA1946" w:rsidRPr="00C85E86" w:rsidRDefault="00CA1946" w:rsidP="007F2B52">
      <w:pPr>
        <w:jc w:val="both"/>
        <w:rPr>
          <w:lang w:val="nl-BE"/>
        </w:rPr>
      </w:pPr>
    </w:p>
    <w:p w14:paraId="16A682DC" w14:textId="77777777" w:rsidR="00141B30" w:rsidRPr="00C85E86" w:rsidRDefault="00141B30" w:rsidP="007F2B52">
      <w:pPr>
        <w:jc w:val="both"/>
        <w:rPr>
          <w:lang w:val="nl-BE"/>
        </w:rPr>
      </w:pPr>
    </w:p>
    <w:p w14:paraId="0CF6FDE7" w14:textId="77777777" w:rsidR="00141B30" w:rsidRPr="00C85E86" w:rsidRDefault="00141B30" w:rsidP="007F2B52">
      <w:pPr>
        <w:jc w:val="both"/>
        <w:rPr>
          <w:lang w:val="nl-BE"/>
        </w:rPr>
      </w:pPr>
    </w:p>
    <w:p w14:paraId="7A77416F" w14:textId="77777777" w:rsidR="00141B30" w:rsidRPr="00C85E86" w:rsidRDefault="00141B30" w:rsidP="007F2B52">
      <w:pPr>
        <w:jc w:val="both"/>
        <w:rPr>
          <w:lang w:val="nl-BE"/>
        </w:rPr>
      </w:pPr>
    </w:p>
    <w:p w14:paraId="4C163A35" w14:textId="77777777" w:rsidR="00141B30" w:rsidRPr="00C85E86" w:rsidRDefault="00141B30" w:rsidP="007F2B52">
      <w:pPr>
        <w:jc w:val="both"/>
        <w:rPr>
          <w:lang w:val="nl-BE"/>
        </w:rPr>
      </w:pPr>
    </w:p>
    <w:p w14:paraId="0BC3D8E7" w14:textId="77777777" w:rsidR="00141B30" w:rsidRPr="00C85E86" w:rsidRDefault="00141B30" w:rsidP="007F2B52">
      <w:pPr>
        <w:jc w:val="both"/>
        <w:rPr>
          <w:lang w:val="nl-BE"/>
        </w:rPr>
      </w:pPr>
    </w:p>
    <w:p w14:paraId="7364BAA1" w14:textId="77777777" w:rsidR="006145A9" w:rsidRPr="00C85E86" w:rsidRDefault="006145A9" w:rsidP="007F2B52">
      <w:pPr>
        <w:widowControl/>
        <w:autoSpaceDE/>
        <w:autoSpaceDN/>
        <w:jc w:val="both"/>
        <w:rPr>
          <w:rFonts w:ascii="Arial" w:eastAsiaTheme="majorEastAsia" w:hAnsi="Arial" w:cs="Times New Roman (Titres CS)"/>
          <w:b/>
          <w:color w:val="4DC0E3" w:themeColor="accent3"/>
          <w:sz w:val="30"/>
          <w:szCs w:val="32"/>
          <w:lang w:val="nl-BE"/>
        </w:rPr>
      </w:pPr>
      <w:r w:rsidRPr="00C85E86">
        <w:rPr>
          <w:lang w:val="nl-BE"/>
        </w:rPr>
        <w:br w:type="page"/>
      </w:r>
    </w:p>
    <w:p w14:paraId="0E83BF62" w14:textId="77777777" w:rsidR="0004068B" w:rsidRDefault="007F2B52" w:rsidP="007F2B52">
      <w:pPr>
        <w:pStyle w:val="Heading1"/>
        <w:jc w:val="both"/>
        <w:rPr>
          <w:lang w:val="nl-BE"/>
        </w:rPr>
      </w:pPr>
      <w:r>
        <w:rPr>
          <w:lang w:val="nl-BE"/>
        </w:rPr>
        <w:lastRenderedPageBreak/>
        <w:t>Intro</w:t>
      </w:r>
    </w:p>
    <w:p w14:paraId="6F51CBB2" w14:textId="601EF613" w:rsidR="0004068B" w:rsidRPr="00E062A2" w:rsidRDefault="007F2B52" w:rsidP="00425FD0">
      <w:pPr>
        <w:pStyle w:val="BodyText"/>
        <w:rPr>
          <w:lang w:val="fr-BE"/>
        </w:rPr>
      </w:pPr>
      <w:r w:rsidRPr="00E062A2">
        <w:rPr>
          <w:lang w:val="fr-BE"/>
        </w:rPr>
        <w:t>Au sein de</w:t>
      </w:r>
      <w:bookmarkStart w:id="3" w:name="_Hlk152232020"/>
      <w:r w:rsidRPr="00E062A2">
        <w:rPr>
          <w:b/>
          <w:bCs/>
          <w:color w:val="60BCCF"/>
          <w:lang w:val="fr-BE"/>
        </w:rPr>
        <w:t xml:space="preserve"> [</w:t>
      </w:r>
      <w:r w:rsidR="00E062A2">
        <w:rPr>
          <w:b/>
          <w:bCs/>
          <w:color w:val="60BCCF"/>
          <w:lang w:val="fr-BE"/>
        </w:rPr>
        <w:t>l’</w:t>
      </w:r>
      <w:r w:rsidRPr="00E062A2">
        <w:rPr>
          <w:b/>
          <w:bCs/>
          <w:color w:val="60BCCF"/>
          <w:lang w:val="fr-BE"/>
        </w:rPr>
        <w:t>organisation]</w:t>
      </w:r>
      <w:bookmarkEnd w:id="3"/>
      <w:r w:rsidRPr="00E062A2">
        <w:rPr>
          <w:lang w:val="fr-BE"/>
        </w:rPr>
        <w:t xml:space="preserve"> , la gestion des accès est une composante essentielle de la sécurité qui détermine qui a accès à certaines données, applications et autres ressources numériques, et dans quelles circonstances. Ces politiques de gestion des accès sécurisent les environneme</w:t>
      </w:r>
      <w:r w:rsidRPr="00E062A2">
        <w:rPr>
          <w:lang w:val="fr-BE"/>
        </w:rPr>
        <w:t xml:space="preserve">nts numériques de la même manière que les clés et les listes d'invités sécurisent les espaces physiques. En d'autres termes, elles permettent aux bonnes personnes d'entrer et empêchent les autres d'entrer. Ces politiques reposent sur des techniques telles </w:t>
      </w:r>
      <w:r w:rsidRPr="00E062A2">
        <w:rPr>
          <w:lang w:val="fr-BE"/>
        </w:rPr>
        <w:t xml:space="preserve">que l'authentification et l'autorisation. Celles-ci permettent à </w:t>
      </w:r>
      <w:r w:rsidRPr="00E062A2">
        <w:rPr>
          <w:b/>
          <w:bCs/>
          <w:color w:val="60BCCF"/>
          <w:lang w:val="fr-BE"/>
        </w:rPr>
        <w:t xml:space="preserve">[l'organisation] </w:t>
      </w:r>
      <w:r w:rsidRPr="00E062A2">
        <w:rPr>
          <w:lang w:val="fr-BE"/>
        </w:rPr>
        <w:t xml:space="preserve">de vérifier que les utilisateurs sont bien ceux qu'ils prétendent être et que l'accès approprié leur a été accordé, en fonction du contexte (appareil, emplacement, fonction, </w:t>
      </w:r>
      <w:r w:rsidRPr="00E062A2">
        <w:rPr>
          <w:lang w:val="fr-BE"/>
        </w:rPr>
        <w:t>etc.).</w:t>
      </w:r>
    </w:p>
    <w:p w14:paraId="3000553D" w14:textId="5AD682AD" w:rsidR="0004068B" w:rsidRPr="00E062A2" w:rsidRDefault="007F2B52" w:rsidP="007F2B52">
      <w:pPr>
        <w:pStyle w:val="Heading1"/>
        <w:jc w:val="both"/>
        <w:rPr>
          <w:rFonts w:eastAsia="Lato-Semibold" w:cs="Lato-Semibold"/>
          <w:b w:val="0"/>
          <w:color w:val="757F85" w:themeColor="accent6"/>
          <w:sz w:val="18"/>
          <w:szCs w:val="22"/>
          <w:lang w:val="fr-BE"/>
        </w:rPr>
      </w:pPr>
      <w:bookmarkStart w:id="4" w:name="_Toc157092846"/>
      <w:bookmarkStart w:id="5" w:name="_Hlk156987633"/>
      <w:r w:rsidRPr="00E062A2">
        <w:rPr>
          <w:rFonts w:eastAsia="Lato-Semibold" w:cs="Lato-Semibold"/>
          <w:b w:val="0"/>
          <w:color w:val="757F85" w:themeColor="accent6"/>
          <w:sz w:val="18"/>
          <w:szCs w:val="22"/>
          <w:lang w:val="fr-BE"/>
        </w:rPr>
        <w:t>Le présent document</w:t>
      </w:r>
      <w:r w:rsidRPr="00E062A2">
        <w:rPr>
          <w:rFonts w:eastAsia="Lato-Semibold" w:cs="Lato-Semibold"/>
          <w:b w:val="0"/>
          <w:color w:val="757F85" w:themeColor="accent6"/>
          <w:sz w:val="18"/>
          <w:szCs w:val="22"/>
          <w:lang w:val="fr-BE"/>
        </w:rPr>
        <w:t xml:space="preserve"> fait partie d'un ensemble de documents</w:t>
      </w:r>
      <w:r w:rsidRPr="00E062A2">
        <w:rPr>
          <w:rFonts w:eastAsia="Lato-Semibold" w:cs="Lato-Semibold"/>
          <w:b w:val="0"/>
          <w:color w:val="757F85" w:themeColor="accent6"/>
          <w:sz w:val="18"/>
          <w:szCs w:val="22"/>
          <w:lang w:val="fr-BE"/>
        </w:rPr>
        <w:t xml:space="preserve"> destinés à aider </w:t>
      </w:r>
      <w:r w:rsidRPr="00E062A2">
        <w:rPr>
          <w:rFonts w:eastAsia="Lato-Semibold" w:cs="Lato-Semibold"/>
          <w:bCs/>
          <w:color w:val="60BCCF"/>
          <w:sz w:val="18"/>
          <w:szCs w:val="22"/>
          <w:lang w:val="fr-BE"/>
        </w:rPr>
        <w:t xml:space="preserve">[l'organisation] </w:t>
      </w:r>
      <w:r w:rsidRPr="00E062A2">
        <w:rPr>
          <w:rFonts w:eastAsia="Lato-Semibold" w:cs="Lato-Semibold"/>
          <w:b w:val="0"/>
          <w:color w:val="757F85" w:themeColor="accent6"/>
          <w:sz w:val="18"/>
          <w:szCs w:val="22"/>
          <w:lang w:val="fr-BE"/>
        </w:rPr>
        <w:t xml:space="preserve">à mettre en place une stratégie solide en matière de cybersécurité.  </w:t>
      </w:r>
    </w:p>
    <w:p w14:paraId="17D2DC74" w14:textId="77777777" w:rsidR="0004068B" w:rsidRPr="00E062A2" w:rsidRDefault="007F2B52" w:rsidP="007F2B52">
      <w:pPr>
        <w:pStyle w:val="Heading1"/>
        <w:jc w:val="both"/>
        <w:rPr>
          <w:lang w:val="fr-BE"/>
        </w:rPr>
      </w:pPr>
      <w:r w:rsidRPr="00E062A2">
        <w:rPr>
          <w:lang w:val="fr-BE"/>
        </w:rPr>
        <w:t>Gestion de l'accès</w:t>
      </w:r>
    </w:p>
    <w:p w14:paraId="0F601912" w14:textId="17F7BDC2" w:rsidR="0004068B" w:rsidRPr="00E062A2" w:rsidRDefault="00E062A2" w:rsidP="00425FD0">
      <w:pPr>
        <w:pStyle w:val="BodyText"/>
        <w:rPr>
          <w:lang w:val="fr-BE"/>
        </w:rPr>
      </w:pPr>
      <w:r w:rsidRPr="00E062A2" w:rsidDel="00E062A2">
        <w:rPr>
          <w:b/>
          <w:bCs/>
          <w:color w:val="60BCCF"/>
          <w:lang w:val="fr-BE"/>
        </w:rPr>
        <w:t xml:space="preserve"> </w:t>
      </w:r>
      <w:r w:rsidRPr="00E062A2">
        <w:rPr>
          <w:b/>
          <w:bCs/>
          <w:color w:val="60BCCF"/>
          <w:lang w:val="fr-BE"/>
        </w:rPr>
        <w:t>[L'organis</w:t>
      </w:r>
      <w:r>
        <w:rPr>
          <w:b/>
          <w:bCs/>
          <w:color w:val="60BCCF"/>
          <w:lang w:val="fr-BE"/>
        </w:rPr>
        <w:t>ation</w:t>
      </w:r>
      <w:r w:rsidRPr="00E062A2">
        <w:rPr>
          <w:b/>
          <w:bCs/>
          <w:color w:val="60BCCF"/>
          <w:lang w:val="fr-BE"/>
        </w:rPr>
        <w:t xml:space="preserve">] </w:t>
      </w:r>
      <w:r w:rsidRPr="00E062A2">
        <w:rPr>
          <w:lang w:val="fr-BE"/>
        </w:rPr>
        <w:t xml:space="preserve">applique le principe de l'accès minimal.  Cela signifie que chaque utilisateur interne ou externe de </w:t>
      </w:r>
      <w:r w:rsidRPr="00E062A2">
        <w:rPr>
          <w:b/>
          <w:bCs/>
          <w:color w:val="60BCCF"/>
          <w:lang w:val="fr-BE"/>
        </w:rPr>
        <w:t>[</w:t>
      </w:r>
      <w:r w:rsidR="0035769E" w:rsidRPr="00E062A2">
        <w:rPr>
          <w:b/>
          <w:bCs/>
          <w:color w:val="60BCCF"/>
          <w:lang w:val="fr-BE"/>
        </w:rPr>
        <w:t>l'organis</w:t>
      </w:r>
      <w:r w:rsidR="0035769E">
        <w:rPr>
          <w:b/>
          <w:bCs/>
          <w:color w:val="60BCCF"/>
          <w:lang w:val="fr-BE"/>
        </w:rPr>
        <w:t>ation</w:t>
      </w:r>
      <w:r w:rsidRPr="00E062A2">
        <w:rPr>
          <w:b/>
          <w:bCs/>
          <w:color w:val="60BCCF"/>
          <w:lang w:val="fr-BE"/>
        </w:rPr>
        <w:t xml:space="preserve">] </w:t>
      </w:r>
      <w:r w:rsidRPr="00E062A2">
        <w:rPr>
          <w:lang w:val="fr-BE"/>
        </w:rPr>
        <w:t xml:space="preserve">se voit accorder un accès exactement suffisant aux informations et aux systèmes dont il a besoin pour exercer correctement ses fonctions.  En outre, </w:t>
      </w:r>
      <w:r w:rsidRPr="007F2B52">
        <w:rPr>
          <w:b/>
          <w:bCs/>
          <w:color w:val="60BCCF"/>
          <w:lang w:val="fr-BE"/>
        </w:rPr>
        <w:t>[l'</w:t>
      </w:r>
      <w:r w:rsidRPr="00E062A2">
        <w:rPr>
          <w:b/>
          <w:bCs/>
          <w:color w:val="60BCCF"/>
          <w:lang w:val="fr-BE"/>
        </w:rPr>
        <w:t xml:space="preserve">organisation] </w:t>
      </w:r>
      <w:r w:rsidRPr="00E062A2">
        <w:rPr>
          <w:lang w:val="fr-BE"/>
        </w:rPr>
        <w:t>préfère mettre en œuvre et appliquer, dans la mesure du possible, une authentification multifactorielle (AMF) standard.</w:t>
      </w:r>
    </w:p>
    <w:p w14:paraId="74AE9397" w14:textId="77777777" w:rsidR="0004068B" w:rsidRPr="00E062A2" w:rsidRDefault="007F2B52" w:rsidP="00425FD0">
      <w:pPr>
        <w:pStyle w:val="BodyText"/>
        <w:rPr>
          <w:lang w:val="fr-BE"/>
        </w:rPr>
      </w:pPr>
      <w:r w:rsidRPr="00E062A2">
        <w:rPr>
          <w:lang w:val="fr-BE"/>
        </w:rPr>
        <w:t xml:space="preserve">L'accès à distance aux systèmes critiques et confidentiels de </w:t>
      </w:r>
      <w:r w:rsidRPr="00E062A2">
        <w:rPr>
          <w:b/>
          <w:bCs/>
          <w:color w:val="60BCCF"/>
          <w:lang w:val="fr-BE"/>
        </w:rPr>
        <w:t xml:space="preserve">[l'organisation] </w:t>
      </w:r>
      <w:r w:rsidRPr="00E062A2">
        <w:rPr>
          <w:lang w:val="fr-BE"/>
        </w:rPr>
        <w:t xml:space="preserve">à partir d'un lieu non fiable, tel que le domicile de l'employé ou le bureau du client, doit être limité aux utilisateurs désignés. Les ordinateurs portables de </w:t>
      </w:r>
      <w:r w:rsidRPr="00E062A2">
        <w:rPr>
          <w:b/>
          <w:bCs/>
          <w:color w:val="60BCCF"/>
          <w:lang w:val="fr-BE"/>
        </w:rPr>
        <w:t xml:space="preserve">[l'organisation] </w:t>
      </w:r>
      <w:r w:rsidRPr="00E062A2">
        <w:rPr>
          <w:lang w:val="fr-BE"/>
        </w:rPr>
        <w:t>sont équipés de paramètres permettant d'établir une connexion VPN aux systèmes</w:t>
      </w:r>
      <w:r w:rsidRPr="00E062A2">
        <w:rPr>
          <w:lang w:val="fr-BE"/>
        </w:rPr>
        <w:t xml:space="preserve"> de </w:t>
      </w:r>
      <w:r w:rsidRPr="00E062A2">
        <w:rPr>
          <w:b/>
          <w:bCs/>
          <w:color w:val="60BCCF"/>
          <w:lang w:val="fr-BE"/>
        </w:rPr>
        <w:t>[l'organisation]</w:t>
      </w:r>
      <w:r w:rsidRPr="00E062A2">
        <w:rPr>
          <w:lang w:val="fr-BE"/>
        </w:rPr>
        <w:t>.</w:t>
      </w:r>
    </w:p>
    <w:p w14:paraId="6860EFB4" w14:textId="77777777" w:rsidR="0004068B" w:rsidRPr="00E062A2" w:rsidRDefault="007F2B52" w:rsidP="00425FD0">
      <w:pPr>
        <w:pStyle w:val="BodyText"/>
        <w:rPr>
          <w:lang w:val="fr-BE"/>
        </w:rPr>
      </w:pPr>
      <w:r w:rsidRPr="00E062A2">
        <w:rPr>
          <w:lang w:val="fr-BE"/>
        </w:rPr>
        <w:t xml:space="preserve">Les accès accordés sont vérifiés à intervalles réguliers et modifiés si nécessaire.  Les ajustements relatifs à l'accès, y compris le travail à distance, sont communiqués en temps utile au </w:t>
      </w:r>
      <w:r w:rsidRPr="00E062A2">
        <w:rPr>
          <w:b/>
          <w:bCs/>
          <w:color w:val="60BCCF"/>
          <w:lang w:val="fr-BE"/>
        </w:rPr>
        <w:t xml:space="preserve">[responsable au sein de l'organisme] </w:t>
      </w:r>
      <w:r w:rsidRPr="007F2B52">
        <w:rPr>
          <w:lang w:val="fr-BE"/>
        </w:rPr>
        <w:t>au moyen</w:t>
      </w:r>
      <w:r w:rsidRPr="007F2B52">
        <w:rPr>
          <w:lang w:val="fr-BE"/>
        </w:rPr>
        <w:t xml:space="preserve"> d'un</w:t>
      </w:r>
      <w:r w:rsidRPr="00E062A2">
        <w:rPr>
          <w:b/>
          <w:bCs/>
          <w:color w:val="60BCCF"/>
          <w:lang w:val="fr-BE"/>
        </w:rPr>
        <w:t xml:space="preserve"> </w:t>
      </w:r>
      <w:r w:rsidRPr="00E062A2">
        <w:rPr>
          <w:lang w:val="fr-BE"/>
        </w:rPr>
        <w:t xml:space="preserve">formulaire de création/modification de compte (ACMF) ou d'un formulaire de suppression de compte (ARF) </w:t>
      </w:r>
      <w:r w:rsidRPr="00E062A2">
        <w:rPr>
          <w:b/>
          <w:bCs/>
          <w:lang w:val="fr-BE"/>
        </w:rPr>
        <w:t>(voir ANNEXE 1 Formulaires</w:t>
      </w:r>
      <w:r w:rsidRPr="00E062A2">
        <w:rPr>
          <w:lang w:val="fr-BE"/>
        </w:rPr>
        <w:t>).</w:t>
      </w:r>
    </w:p>
    <w:p w14:paraId="69D8C34D" w14:textId="77777777" w:rsidR="0004068B" w:rsidRPr="00E062A2" w:rsidRDefault="007F2B52" w:rsidP="007F2B52">
      <w:pPr>
        <w:pStyle w:val="Heading1"/>
        <w:jc w:val="both"/>
        <w:rPr>
          <w:lang w:val="fr-BE"/>
        </w:rPr>
      </w:pPr>
      <w:r w:rsidRPr="00E062A2">
        <w:rPr>
          <w:lang w:val="fr-BE"/>
        </w:rPr>
        <w:t>Gestion des comptes</w:t>
      </w:r>
    </w:p>
    <w:p w14:paraId="3BC944ED" w14:textId="77777777" w:rsidR="0004068B" w:rsidRPr="00E062A2" w:rsidRDefault="007F2B52" w:rsidP="007F2B52">
      <w:pPr>
        <w:pStyle w:val="Heading2"/>
        <w:jc w:val="both"/>
        <w:rPr>
          <w:lang w:val="fr-BE"/>
        </w:rPr>
      </w:pPr>
      <w:r w:rsidRPr="00E062A2">
        <w:rPr>
          <w:lang w:val="fr-BE"/>
        </w:rPr>
        <w:t>Comptes d'utilisateurs</w:t>
      </w:r>
    </w:p>
    <w:p w14:paraId="33661DC7" w14:textId="77777777" w:rsidR="0004068B" w:rsidRPr="00E062A2" w:rsidRDefault="007F2B52" w:rsidP="00425FD0">
      <w:pPr>
        <w:pStyle w:val="BodyText"/>
        <w:rPr>
          <w:lang w:val="fr-BE"/>
        </w:rPr>
      </w:pPr>
      <w:r w:rsidRPr="00E062A2">
        <w:rPr>
          <w:lang w:val="fr-BE"/>
        </w:rPr>
        <w:t xml:space="preserve">Les comptes d'utilisateurs sont un moyen courant </w:t>
      </w:r>
      <w:r w:rsidRPr="00E062A2">
        <w:rPr>
          <w:lang w:val="fr-BE"/>
        </w:rPr>
        <w:t>d'authentification. Les règles suivantes s'appliquent aux comptes d'utilisateurs pour l'accès aux systèmes critiques et confidentiels :</w:t>
      </w:r>
    </w:p>
    <w:p w14:paraId="6F91216C" w14:textId="77777777" w:rsidR="0004068B" w:rsidRPr="00E062A2" w:rsidRDefault="007F2B52" w:rsidP="00425FD0">
      <w:pPr>
        <w:pStyle w:val="BodyText"/>
        <w:numPr>
          <w:ilvl w:val="0"/>
          <w:numId w:val="43"/>
        </w:numPr>
        <w:rPr>
          <w:lang w:val="fr-BE"/>
        </w:rPr>
      </w:pPr>
      <w:r w:rsidRPr="00E062A2">
        <w:rPr>
          <w:lang w:val="fr-BE"/>
        </w:rPr>
        <w:t>doit être unique et personnelle.</w:t>
      </w:r>
    </w:p>
    <w:p w14:paraId="2DBC2D0A" w14:textId="77777777" w:rsidR="0004068B" w:rsidRPr="00E062A2" w:rsidRDefault="007F2B52" w:rsidP="00425FD0">
      <w:pPr>
        <w:pStyle w:val="BodyText"/>
        <w:numPr>
          <w:ilvl w:val="0"/>
          <w:numId w:val="43"/>
        </w:numPr>
        <w:rPr>
          <w:lang w:val="fr-BE"/>
        </w:rPr>
      </w:pPr>
      <w:r w:rsidRPr="00E062A2">
        <w:rPr>
          <w:lang w:val="fr-BE"/>
        </w:rPr>
        <w:t xml:space="preserve">doivent être protégés par un mot de passe, comme décrit dans la politique relative aux </w:t>
      </w:r>
      <w:r w:rsidRPr="00E062A2">
        <w:rPr>
          <w:lang w:val="fr-BE"/>
        </w:rPr>
        <w:t>mots de passe.</w:t>
      </w:r>
    </w:p>
    <w:p w14:paraId="27189567" w14:textId="77777777" w:rsidR="0004068B" w:rsidRPr="00E062A2" w:rsidRDefault="007F2B52" w:rsidP="00425FD0">
      <w:pPr>
        <w:pStyle w:val="BodyText"/>
        <w:numPr>
          <w:ilvl w:val="0"/>
          <w:numId w:val="43"/>
        </w:numPr>
        <w:rPr>
          <w:lang w:val="fr-BE"/>
        </w:rPr>
      </w:pPr>
      <w:r w:rsidRPr="00E062A2">
        <w:rPr>
          <w:lang w:val="fr-BE"/>
        </w:rPr>
        <w:t>les nouveaux comptes d'utilisateur pour les employés ne peuvent être demandés que par une personne autorisée et traités.</w:t>
      </w:r>
    </w:p>
    <w:p w14:paraId="75284FCE" w14:textId="77777777" w:rsidR="0004068B" w:rsidRPr="00E062A2" w:rsidRDefault="007F2B52" w:rsidP="00425FD0">
      <w:pPr>
        <w:pStyle w:val="BodyText"/>
        <w:numPr>
          <w:ilvl w:val="0"/>
          <w:numId w:val="43"/>
        </w:numPr>
        <w:rPr>
          <w:lang w:val="fr-BE"/>
        </w:rPr>
      </w:pPr>
      <w:r w:rsidRPr="00E062A2">
        <w:rPr>
          <w:lang w:val="fr-BE"/>
        </w:rPr>
        <w:t>doivent être retirés lorsqu'ils deviennent obsolètes (par exemple, à la fin du contrat).</w:t>
      </w:r>
    </w:p>
    <w:p w14:paraId="02DD5214" w14:textId="5FA1DE08" w:rsidR="00C54E7A" w:rsidRPr="00E062A2" w:rsidRDefault="00C54E7A" w:rsidP="007F2B52">
      <w:pPr>
        <w:widowControl/>
        <w:autoSpaceDE/>
        <w:autoSpaceDN/>
        <w:jc w:val="both"/>
        <w:rPr>
          <w:rFonts w:ascii="Arial" w:hAnsi="Arial"/>
          <w:color w:val="757F85" w:themeColor="accent6"/>
          <w:sz w:val="18"/>
          <w:lang w:val="fr-BE"/>
        </w:rPr>
      </w:pPr>
      <w:r w:rsidRPr="00E062A2">
        <w:rPr>
          <w:lang w:val="fr-BE"/>
        </w:rPr>
        <w:br w:type="page"/>
      </w:r>
    </w:p>
    <w:p w14:paraId="268A854D" w14:textId="77777777" w:rsidR="0004068B" w:rsidRPr="00E062A2" w:rsidRDefault="00552083" w:rsidP="007F2B52">
      <w:pPr>
        <w:pStyle w:val="Heading2"/>
        <w:jc w:val="both"/>
        <w:rPr>
          <w:lang w:val="fr-BE"/>
        </w:rPr>
      </w:pPr>
      <w:r w:rsidRPr="00E062A2">
        <w:rPr>
          <w:lang w:val="fr-BE"/>
        </w:rPr>
        <w:lastRenderedPageBreak/>
        <w:t>Comptes privilégiés</w:t>
      </w:r>
    </w:p>
    <w:p w14:paraId="2B28B15E" w14:textId="77777777" w:rsidR="0004068B" w:rsidRPr="00E062A2" w:rsidRDefault="007F2B52" w:rsidP="00425FD0">
      <w:pPr>
        <w:pStyle w:val="BodyText"/>
        <w:rPr>
          <w:lang w:val="fr-BE"/>
        </w:rPr>
      </w:pPr>
      <w:r w:rsidRPr="00E062A2">
        <w:rPr>
          <w:lang w:val="fr-BE"/>
        </w:rPr>
        <w:t>L'attribu</w:t>
      </w:r>
      <w:r w:rsidRPr="00E062A2">
        <w:rPr>
          <w:lang w:val="fr-BE"/>
        </w:rPr>
        <w:t>tion de comptes à privilèges (par exemple, administrateur de domaine, super utilisateur et root) doit être limitée. Les comptes à privilèges ne doivent être utilisés que lorsque l'accès privilégié est nécessaire. Les propriétaires de ces comptes doivent ut</w:t>
      </w:r>
      <w:r w:rsidRPr="00E062A2">
        <w:rPr>
          <w:lang w:val="fr-BE"/>
        </w:rPr>
        <w:t>iliser un compte non privilégié pour les activités normales de l'utilisateur. Par exemple, les administrateurs système ne doivent pas utiliser leur compte d'administrateur de domaine pour gérer leur courrier électronique.</w:t>
      </w:r>
    </w:p>
    <w:p w14:paraId="5329272F" w14:textId="77777777" w:rsidR="0004068B" w:rsidRPr="00E062A2" w:rsidRDefault="007F2B52" w:rsidP="00425FD0">
      <w:pPr>
        <w:pStyle w:val="BodyText"/>
        <w:rPr>
          <w:lang w:val="fr-BE"/>
        </w:rPr>
      </w:pPr>
      <w:r w:rsidRPr="00E062A2">
        <w:rPr>
          <w:lang w:val="fr-BE"/>
        </w:rPr>
        <w:t>Le nom de ce compte ne doit pas di</w:t>
      </w:r>
      <w:r w:rsidRPr="00E062A2">
        <w:rPr>
          <w:lang w:val="fr-BE"/>
        </w:rPr>
        <w:t>vulguer d'informations sur les privilèges étendus du compte, ceci afin d'éviter les abus.</w:t>
      </w:r>
    </w:p>
    <w:p w14:paraId="6CD10D37" w14:textId="77777777" w:rsidR="0004068B" w:rsidRPr="00E062A2" w:rsidRDefault="007F2B52" w:rsidP="00425FD0">
      <w:pPr>
        <w:pStyle w:val="BodyText"/>
        <w:rPr>
          <w:lang w:val="fr-BE"/>
        </w:rPr>
      </w:pPr>
      <w:r w:rsidRPr="00E062A2">
        <w:rPr>
          <w:lang w:val="fr-BE"/>
        </w:rPr>
        <w:t>Pour les comptes privilégiés des systèmes critiques et confidentiels auxquels on accède à partir de réseaux non fiables tels que l'internet, il convient d'utiliser l'</w:t>
      </w:r>
      <w:r w:rsidRPr="00E062A2">
        <w:rPr>
          <w:lang w:val="fr-BE"/>
        </w:rPr>
        <w:t>authentification multifactorielle.</w:t>
      </w:r>
    </w:p>
    <w:p w14:paraId="2AF4DA56" w14:textId="77777777" w:rsidR="0004068B" w:rsidRPr="00E062A2" w:rsidRDefault="007F2B52" w:rsidP="007F2B52">
      <w:pPr>
        <w:pStyle w:val="Heading2"/>
        <w:jc w:val="both"/>
        <w:rPr>
          <w:lang w:val="fr-BE"/>
        </w:rPr>
      </w:pPr>
      <w:r w:rsidRPr="00E062A2">
        <w:rPr>
          <w:lang w:val="fr-BE"/>
        </w:rPr>
        <w:t>Comptes partagés</w:t>
      </w:r>
    </w:p>
    <w:p w14:paraId="0E68E9B1" w14:textId="77777777" w:rsidR="0004068B" w:rsidRDefault="007F2B52" w:rsidP="00425FD0">
      <w:pPr>
        <w:pStyle w:val="BodyText"/>
        <w:rPr>
          <w:lang w:val="nl-BE"/>
        </w:rPr>
      </w:pPr>
      <w:r w:rsidRPr="00E062A2">
        <w:rPr>
          <w:lang w:val="fr-BE"/>
        </w:rPr>
        <w:t xml:space="preserve">L'utilisation de comptes partagés doit être évitée. S'il n'est pas possible de l'empêcher raisonnablement, l'utilisation des comptes partagés doit être contrôlée. </w:t>
      </w:r>
      <w:r w:rsidRPr="00CC3463">
        <w:rPr>
          <w:lang w:val="nl-BE"/>
        </w:rPr>
        <w:t xml:space="preserve">Des </w:t>
      </w:r>
      <w:proofErr w:type="spellStart"/>
      <w:r w:rsidRPr="00CC3463">
        <w:rPr>
          <w:lang w:val="nl-BE"/>
        </w:rPr>
        <w:t>contrôles</w:t>
      </w:r>
      <w:proofErr w:type="spellEnd"/>
      <w:r w:rsidRPr="00CC3463">
        <w:rPr>
          <w:lang w:val="nl-BE"/>
        </w:rPr>
        <w:t xml:space="preserve"> </w:t>
      </w:r>
      <w:proofErr w:type="spellStart"/>
      <w:r w:rsidRPr="00CC3463">
        <w:rPr>
          <w:lang w:val="nl-BE"/>
        </w:rPr>
        <w:t>doivent</w:t>
      </w:r>
      <w:proofErr w:type="spellEnd"/>
      <w:r w:rsidRPr="00CC3463">
        <w:rPr>
          <w:lang w:val="nl-BE"/>
        </w:rPr>
        <w:t xml:space="preserve"> </w:t>
      </w:r>
      <w:proofErr w:type="spellStart"/>
      <w:r w:rsidRPr="00CC3463">
        <w:rPr>
          <w:lang w:val="nl-BE"/>
        </w:rPr>
        <w:t>être</w:t>
      </w:r>
      <w:proofErr w:type="spellEnd"/>
      <w:r w:rsidRPr="00CC3463">
        <w:rPr>
          <w:lang w:val="nl-BE"/>
        </w:rPr>
        <w:t xml:space="preserve"> mis en place p</w:t>
      </w:r>
      <w:r w:rsidRPr="00CC3463">
        <w:rPr>
          <w:lang w:val="nl-BE"/>
        </w:rPr>
        <w:t>our</w:t>
      </w:r>
    </w:p>
    <w:p w14:paraId="69D9D39C" w14:textId="77777777" w:rsidR="0004068B" w:rsidRPr="00E062A2" w:rsidRDefault="007F2B52" w:rsidP="00425FD0">
      <w:pPr>
        <w:pStyle w:val="BodyText"/>
        <w:numPr>
          <w:ilvl w:val="0"/>
          <w:numId w:val="44"/>
        </w:numPr>
        <w:rPr>
          <w:lang w:val="fr-BE"/>
        </w:rPr>
      </w:pPr>
      <w:r w:rsidRPr="00E062A2">
        <w:rPr>
          <w:lang w:val="fr-BE"/>
        </w:rPr>
        <w:t>Savoir qui peut utiliser le compte.</w:t>
      </w:r>
    </w:p>
    <w:p w14:paraId="6497FD3C" w14:textId="77777777" w:rsidR="0004068B" w:rsidRPr="00E062A2" w:rsidRDefault="007F2B52" w:rsidP="00425FD0">
      <w:pPr>
        <w:pStyle w:val="BodyText"/>
        <w:numPr>
          <w:ilvl w:val="0"/>
          <w:numId w:val="44"/>
        </w:numPr>
        <w:rPr>
          <w:lang w:val="fr-BE"/>
        </w:rPr>
      </w:pPr>
      <w:r w:rsidRPr="00E062A2">
        <w:rPr>
          <w:lang w:val="fr-BE"/>
        </w:rPr>
        <w:t>Contrôle de l'utilisation du compte.</w:t>
      </w:r>
    </w:p>
    <w:p w14:paraId="35DAC069" w14:textId="77777777" w:rsidR="0004068B" w:rsidRPr="00E062A2" w:rsidRDefault="007F2B52" w:rsidP="00425FD0">
      <w:pPr>
        <w:pStyle w:val="BodyText"/>
        <w:numPr>
          <w:ilvl w:val="0"/>
          <w:numId w:val="44"/>
        </w:numPr>
        <w:rPr>
          <w:lang w:val="fr-BE"/>
        </w:rPr>
      </w:pPr>
      <w:r w:rsidRPr="00E062A2">
        <w:rPr>
          <w:lang w:val="fr-BE"/>
        </w:rPr>
        <w:t xml:space="preserve">Processus de changement de mot de passe et communication du nouveau mot de passe. </w:t>
      </w:r>
    </w:p>
    <w:p w14:paraId="24145F47" w14:textId="77777777" w:rsidR="0004068B" w:rsidRPr="00E062A2" w:rsidRDefault="007F2B52" w:rsidP="00425FD0">
      <w:pPr>
        <w:pStyle w:val="BodyText"/>
        <w:numPr>
          <w:ilvl w:val="0"/>
          <w:numId w:val="44"/>
        </w:numPr>
        <w:rPr>
          <w:lang w:val="fr-BE"/>
        </w:rPr>
      </w:pPr>
      <w:r w:rsidRPr="00E062A2">
        <w:rPr>
          <w:lang w:val="fr-BE"/>
        </w:rPr>
        <w:t>Prévenir les abus, par exemple en cas de résiliation du contrat.</w:t>
      </w:r>
    </w:p>
    <w:p w14:paraId="3C97E62F" w14:textId="77777777" w:rsidR="0004068B" w:rsidRPr="00E062A2" w:rsidRDefault="007F2B52" w:rsidP="007F2B52">
      <w:pPr>
        <w:pStyle w:val="Heading2"/>
        <w:jc w:val="both"/>
        <w:rPr>
          <w:lang w:val="fr-BE"/>
        </w:rPr>
      </w:pPr>
      <w:r w:rsidRPr="00E062A2">
        <w:rPr>
          <w:lang w:val="fr-BE"/>
        </w:rPr>
        <w:t>Comptes du personnel externe et</w:t>
      </w:r>
      <w:r w:rsidRPr="00E062A2">
        <w:rPr>
          <w:lang w:val="fr-BE"/>
        </w:rPr>
        <w:t xml:space="preserve"> des entreprises externes</w:t>
      </w:r>
    </w:p>
    <w:p w14:paraId="2A66662D" w14:textId="77777777" w:rsidR="0004068B" w:rsidRPr="00E062A2" w:rsidRDefault="007F2B52" w:rsidP="00425FD0">
      <w:pPr>
        <w:pStyle w:val="BodyText"/>
        <w:rPr>
          <w:lang w:val="fr-BE"/>
        </w:rPr>
      </w:pPr>
      <w:r w:rsidRPr="00E062A2">
        <w:rPr>
          <w:lang w:val="fr-BE"/>
        </w:rPr>
        <w:t>Les contrôles supplémentaires suivants doivent être effectués pour les comptes du personnel externe :</w:t>
      </w:r>
    </w:p>
    <w:p w14:paraId="356AA2AB" w14:textId="77777777" w:rsidR="0004068B" w:rsidRPr="00E062A2" w:rsidRDefault="007F2B52" w:rsidP="00425FD0">
      <w:pPr>
        <w:pStyle w:val="BodyText"/>
        <w:numPr>
          <w:ilvl w:val="0"/>
          <w:numId w:val="45"/>
        </w:numPr>
        <w:rPr>
          <w:lang w:val="fr-BE"/>
        </w:rPr>
      </w:pPr>
      <w:r w:rsidRPr="00E062A2">
        <w:rPr>
          <w:lang w:val="fr-BE"/>
        </w:rPr>
        <w:t xml:space="preserve">Les comptes doivent être facilement identifiables comme étant destinés au personnel externe, par exemple en ajoutant un préfixe </w:t>
      </w:r>
      <w:r w:rsidRPr="00E062A2">
        <w:rPr>
          <w:lang w:val="fr-BE"/>
        </w:rPr>
        <w:t>au nom du compte ou en le mentionnant dans une description.</w:t>
      </w:r>
    </w:p>
    <w:p w14:paraId="56EF3730" w14:textId="77777777" w:rsidR="0004068B" w:rsidRPr="00E062A2" w:rsidRDefault="007F2B52" w:rsidP="00425FD0">
      <w:pPr>
        <w:pStyle w:val="BodyText"/>
        <w:rPr>
          <w:lang w:val="fr-BE"/>
        </w:rPr>
      </w:pPr>
      <w:r w:rsidRPr="00E062A2">
        <w:rPr>
          <w:lang w:val="fr-BE"/>
        </w:rPr>
        <w:t xml:space="preserve">Les comptes doivent être révoqués à la fin du contrat. Si ce processus ne peut être entièrement garanti, le compte doit automatiquement expirer tous les </w:t>
      </w:r>
      <w:r w:rsidRPr="00E062A2">
        <w:rPr>
          <w:b/>
          <w:bCs/>
          <w:color w:val="60BCCF"/>
          <w:lang w:val="fr-BE"/>
        </w:rPr>
        <w:t xml:space="preserve">[3 mois], </w:t>
      </w:r>
      <w:r w:rsidRPr="007F2B52">
        <w:rPr>
          <w:lang w:val="fr-BE"/>
        </w:rPr>
        <w:t xml:space="preserve">sauf si le </w:t>
      </w:r>
      <w:r w:rsidRPr="00E062A2">
        <w:rPr>
          <w:lang w:val="fr-BE"/>
        </w:rPr>
        <w:t>renouvellement est officiellement approuvé.</w:t>
      </w:r>
    </w:p>
    <w:p w14:paraId="322507B4" w14:textId="77777777" w:rsidR="0004068B" w:rsidRPr="00E062A2" w:rsidRDefault="007F2B52" w:rsidP="007F2B52">
      <w:pPr>
        <w:pStyle w:val="Heading2"/>
        <w:jc w:val="both"/>
        <w:rPr>
          <w:lang w:val="fr-BE"/>
        </w:rPr>
      </w:pPr>
      <w:r w:rsidRPr="00E062A2">
        <w:rPr>
          <w:lang w:val="fr-BE"/>
        </w:rPr>
        <w:t>Comptes de service pour la communicati</w:t>
      </w:r>
      <w:r w:rsidRPr="00E062A2">
        <w:rPr>
          <w:lang w:val="fr-BE"/>
        </w:rPr>
        <w:t>on entre les systèmes</w:t>
      </w:r>
    </w:p>
    <w:p w14:paraId="51A54102" w14:textId="77777777" w:rsidR="0004068B" w:rsidRPr="00E062A2" w:rsidRDefault="007F2B52" w:rsidP="00425FD0">
      <w:pPr>
        <w:pStyle w:val="BodyText"/>
        <w:rPr>
          <w:lang w:val="fr-BE"/>
        </w:rPr>
      </w:pPr>
      <w:r w:rsidRPr="00E062A2">
        <w:rPr>
          <w:lang w:val="fr-BE"/>
        </w:rPr>
        <w:t>Les contrôles supplémentaires suivants doivent être présents pour les comptes de service et les comptes de communication de machine à machine :</w:t>
      </w:r>
    </w:p>
    <w:p w14:paraId="4BBBC18B" w14:textId="77777777" w:rsidR="0004068B" w:rsidRPr="00E062A2" w:rsidRDefault="007F2B52" w:rsidP="00425FD0">
      <w:pPr>
        <w:pStyle w:val="BodyText"/>
        <w:numPr>
          <w:ilvl w:val="0"/>
          <w:numId w:val="45"/>
        </w:numPr>
        <w:rPr>
          <w:lang w:val="fr-BE"/>
        </w:rPr>
      </w:pPr>
      <w:r w:rsidRPr="00E062A2">
        <w:rPr>
          <w:lang w:val="fr-BE"/>
        </w:rPr>
        <w:t>Les comptes doivent être facilement identifiables en tant que comptes de service, par exem</w:t>
      </w:r>
      <w:r w:rsidRPr="00E062A2">
        <w:rPr>
          <w:lang w:val="fr-BE"/>
        </w:rPr>
        <w:t>ple en ajoutant un préfixe au nom du compte ou en le mentionnant dans une description.</w:t>
      </w:r>
    </w:p>
    <w:p w14:paraId="7CFCC6D6" w14:textId="77777777" w:rsidR="0004068B" w:rsidRPr="00E062A2" w:rsidRDefault="007F2B52" w:rsidP="00425FD0">
      <w:pPr>
        <w:pStyle w:val="BodyText"/>
        <w:numPr>
          <w:ilvl w:val="0"/>
          <w:numId w:val="45"/>
        </w:numPr>
        <w:rPr>
          <w:lang w:val="fr-BE"/>
        </w:rPr>
      </w:pPr>
      <w:r w:rsidRPr="00E062A2">
        <w:rPr>
          <w:lang w:val="fr-BE"/>
        </w:rPr>
        <w:t>Là encore, le principe de l'accès minimal s'applique.</w:t>
      </w:r>
    </w:p>
    <w:p w14:paraId="0864FBAD" w14:textId="77777777" w:rsidR="0004068B" w:rsidRPr="00E062A2" w:rsidRDefault="007F2B52" w:rsidP="00425FD0">
      <w:pPr>
        <w:pStyle w:val="BodyText"/>
        <w:numPr>
          <w:ilvl w:val="0"/>
          <w:numId w:val="45"/>
        </w:numPr>
        <w:rPr>
          <w:lang w:val="fr-BE"/>
        </w:rPr>
      </w:pPr>
      <w:r w:rsidRPr="00E062A2">
        <w:rPr>
          <w:lang w:val="fr-BE"/>
        </w:rPr>
        <w:t>L'utilisation interactive des comptes de service doit être évitée.</w:t>
      </w:r>
    </w:p>
    <w:p w14:paraId="65EA0E18" w14:textId="4D1F1A0C" w:rsidR="00484D81" w:rsidRPr="00E062A2" w:rsidRDefault="00484D81" w:rsidP="007F2B52">
      <w:pPr>
        <w:widowControl/>
        <w:autoSpaceDE/>
        <w:autoSpaceDN/>
        <w:jc w:val="both"/>
        <w:rPr>
          <w:rFonts w:ascii="Arial" w:hAnsi="Arial"/>
          <w:color w:val="757F85" w:themeColor="accent6"/>
          <w:sz w:val="18"/>
          <w:lang w:val="fr-BE"/>
        </w:rPr>
      </w:pPr>
      <w:r w:rsidRPr="00E062A2">
        <w:rPr>
          <w:lang w:val="fr-BE"/>
        </w:rPr>
        <w:br w:type="page"/>
      </w:r>
    </w:p>
    <w:p w14:paraId="2517E01C" w14:textId="77777777" w:rsidR="0004068B" w:rsidRPr="00E062A2" w:rsidRDefault="007F2B52" w:rsidP="007F2B52">
      <w:pPr>
        <w:pStyle w:val="Heading1"/>
        <w:jc w:val="both"/>
        <w:rPr>
          <w:lang w:val="fr-BE"/>
        </w:rPr>
      </w:pPr>
      <w:r w:rsidRPr="00E062A2">
        <w:rPr>
          <w:lang w:val="fr-BE"/>
        </w:rPr>
        <w:lastRenderedPageBreak/>
        <w:t>Authentification et autorisation</w:t>
      </w:r>
    </w:p>
    <w:p w14:paraId="1FFD57DC" w14:textId="77777777" w:rsidR="0004068B" w:rsidRPr="007F2B52" w:rsidRDefault="007F2B52" w:rsidP="007F2B52">
      <w:pPr>
        <w:jc w:val="both"/>
        <w:rPr>
          <w:rFonts w:ascii="Arial" w:hAnsi="Arial" w:cs="Arial"/>
          <w:sz w:val="18"/>
          <w:szCs w:val="18"/>
          <w:lang w:val="fr-BE"/>
        </w:rPr>
      </w:pPr>
      <w:r w:rsidRPr="0099345F">
        <w:rPr>
          <w:rFonts w:ascii="Arial" w:hAnsi="Arial" w:cs="Arial"/>
          <w:b/>
          <w:bCs/>
          <w:color w:val="60BCCF"/>
          <w:sz w:val="18"/>
          <w:szCs w:val="18"/>
          <w:lang w:val="fr-BE"/>
        </w:rPr>
        <w:t xml:space="preserve">Microsoft Active Directory (AD) </w:t>
      </w:r>
      <w:r w:rsidRPr="007F2B52">
        <w:rPr>
          <w:rFonts w:ascii="Arial" w:hAnsi="Arial" w:cs="Arial"/>
          <w:color w:val="757F85" w:themeColor="accent6"/>
          <w:sz w:val="18"/>
          <w:szCs w:val="18"/>
          <w:lang w:val="fr-BE"/>
        </w:rPr>
        <w:t>est une solution centralisée d'authentification et d'autorisation qui permet de gérer les droits et les paramètres de sécurité au sein d'un réseau. AD est intégré à l'environnement Windows et permet de déléguer la gestion de</w:t>
      </w:r>
      <w:r w:rsidRPr="007F2B52">
        <w:rPr>
          <w:rFonts w:ascii="Arial" w:hAnsi="Arial" w:cs="Arial"/>
          <w:color w:val="757F85" w:themeColor="accent6"/>
          <w:sz w:val="18"/>
          <w:szCs w:val="18"/>
          <w:lang w:val="fr-BE"/>
        </w:rPr>
        <w:t xml:space="preserve"> l'environnement Windows </w:t>
      </w:r>
      <w:r w:rsidRPr="0099345F">
        <w:rPr>
          <w:rFonts w:ascii="Arial" w:hAnsi="Arial" w:cs="Arial"/>
          <w:b/>
          <w:bCs/>
          <w:color w:val="60BCCF"/>
          <w:sz w:val="18"/>
          <w:szCs w:val="18"/>
          <w:lang w:val="fr-BE"/>
        </w:rPr>
        <w:t>[de l'organisation].</w:t>
      </w:r>
    </w:p>
    <w:p w14:paraId="29A60820" w14:textId="77777777" w:rsidR="00484D81" w:rsidRPr="00E062A2" w:rsidRDefault="00484D81" w:rsidP="00425FD0">
      <w:pPr>
        <w:pStyle w:val="BodyText"/>
        <w:rPr>
          <w:lang w:val="fr-BE"/>
        </w:rPr>
      </w:pPr>
    </w:p>
    <w:p w14:paraId="5520438D" w14:textId="77777777" w:rsidR="0004068B" w:rsidRDefault="007F2B52" w:rsidP="007F2B52">
      <w:pPr>
        <w:pStyle w:val="Heading2"/>
        <w:jc w:val="both"/>
        <w:rPr>
          <w:lang w:val="nl-BE"/>
        </w:rPr>
      </w:pPr>
      <w:r w:rsidRPr="008A4862">
        <w:rPr>
          <w:lang w:val="nl-BE"/>
        </w:rPr>
        <w:t>Authentification</w:t>
      </w:r>
    </w:p>
    <w:p w14:paraId="51CC4DA4" w14:textId="77777777" w:rsidR="0004068B" w:rsidRPr="00E062A2" w:rsidRDefault="007F2B52" w:rsidP="00425FD0">
      <w:pPr>
        <w:pStyle w:val="BodyText"/>
        <w:numPr>
          <w:ilvl w:val="0"/>
          <w:numId w:val="46"/>
        </w:numPr>
        <w:rPr>
          <w:lang w:val="fr-BE"/>
        </w:rPr>
      </w:pPr>
      <w:r w:rsidRPr="00E062A2">
        <w:rPr>
          <w:lang w:val="fr-BE"/>
        </w:rPr>
        <w:t>Grâce à une procédure de connexion sécurisée, il devrait être possible de contrôler l'accès aux systèmes et aux applications.</w:t>
      </w:r>
    </w:p>
    <w:p w14:paraId="25CB691E" w14:textId="77777777" w:rsidR="0004068B" w:rsidRPr="00E062A2" w:rsidRDefault="007F2B52" w:rsidP="00425FD0">
      <w:pPr>
        <w:pStyle w:val="BodyText"/>
        <w:numPr>
          <w:ilvl w:val="0"/>
          <w:numId w:val="46"/>
        </w:numPr>
        <w:rPr>
          <w:lang w:val="fr-BE"/>
        </w:rPr>
      </w:pPr>
      <w:r w:rsidRPr="00E062A2">
        <w:rPr>
          <w:lang w:val="fr-BE"/>
        </w:rPr>
        <w:t xml:space="preserve">Le </w:t>
      </w:r>
      <w:r w:rsidRPr="00E062A2">
        <w:rPr>
          <w:b/>
          <w:bCs/>
          <w:color w:val="60BCCF"/>
          <w:lang w:val="fr-BE"/>
        </w:rPr>
        <w:t xml:space="preserve">[responsable informatique] </w:t>
      </w:r>
      <w:r w:rsidRPr="00E062A2">
        <w:rPr>
          <w:lang w:val="fr-BE"/>
        </w:rPr>
        <w:t>doit enregistrer et contrôler chaque</w:t>
      </w:r>
      <w:r w:rsidRPr="00E062A2">
        <w:rPr>
          <w:lang w:val="fr-BE"/>
        </w:rPr>
        <w:t xml:space="preserve"> tentative de connexion, qu'elle soit réussie ou non.</w:t>
      </w:r>
    </w:p>
    <w:p w14:paraId="078C63E4" w14:textId="77777777" w:rsidR="0004068B" w:rsidRPr="00E062A2" w:rsidRDefault="007F2B52" w:rsidP="00425FD0">
      <w:pPr>
        <w:pStyle w:val="BodyText"/>
        <w:numPr>
          <w:ilvl w:val="0"/>
          <w:numId w:val="46"/>
        </w:numPr>
        <w:rPr>
          <w:lang w:val="fr-BE"/>
        </w:rPr>
      </w:pPr>
      <w:r w:rsidRPr="00E062A2">
        <w:rPr>
          <w:lang w:val="fr-BE"/>
        </w:rPr>
        <w:t xml:space="preserve">Les mots de passe initiaux doivent être transmis directement et en toute sécurité à l'utilisateur. </w:t>
      </w:r>
    </w:p>
    <w:p w14:paraId="2FE0D9F3" w14:textId="77777777" w:rsidR="0004068B" w:rsidRPr="00E062A2" w:rsidRDefault="007F2B52" w:rsidP="00425FD0">
      <w:pPr>
        <w:pStyle w:val="BodyText"/>
        <w:numPr>
          <w:ilvl w:val="0"/>
          <w:numId w:val="46"/>
        </w:numPr>
        <w:rPr>
          <w:lang w:val="fr-BE"/>
        </w:rPr>
      </w:pPr>
      <w:r w:rsidRPr="00E062A2">
        <w:rPr>
          <w:lang w:val="fr-BE"/>
        </w:rPr>
        <w:t>Ces mots de passe doivent être modifiés immédiatement.</w:t>
      </w:r>
    </w:p>
    <w:p w14:paraId="60161AFD" w14:textId="77777777" w:rsidR="0004068B" w:rsidRPr="00E062A2" w:rsidRDefault="007F2B52" w:rsidP="00425FD0">
      <w:pPr>
        <w:pStyle w:val="BodyText"/>
        <w:numPr>
          <w:ilvl w:val="0"/>
          <w:numId w:val="46"/>
        </w:numPr>
        <w:rPr>
          <w:lang w:val="fr-BE"/>
        </w:rPr>
      </w:pPr>
      <w:r w:rsidRPr="00E062A2">
        <w:rPr>
          <w:lang w:val="fr-BE"/>
        </w:rPr>
        <w:t>L'authentification multifactorielle doit être u</w:t>
      </w:r>
      <w:r w:rsidRPr="00E062A2">
        <w:rPr>
          <w:lang w:val="fr-BE"/>
        </w:rPr>
        <w:t>tilisée lorsque cela est approprié et possible.</w:t>
      </w:r>
    </w:p>
    <w:p w14:paraId="4B164256" w14:textId="77777777" w:rsidR="0004068B" w:rsidRPr="00E062A2" w:rsidRDefault="007F2B52" w:rsidP="00425FD0">
      <w:pPr>
        <w:pStyle w:val="BodyText"/>
        <w:numPr>
          <w:ilvl w:val="0"/>
          <w:numId w:val="46"/>
        </w:numPr>
        <w:rPr>
          <w:lang w:val="fr-BE"/>
        </w:rPr>
      </w:pPr>
      <w:r w:rsidRPr="00E062A2">
        <w:rPr>
          <w:lang w:val="fr-BE"/>
        </w:rPr>
        <w:t xml:space="preserve">Le compte de l'utilisateur doit être suspendu pour une période prédéterminée si l'utilisateur effectue un nombre prédéterminé de tentatives d'authentification infructueuses </w:t>
      </w:r>
      <w:r w:rsidRPr="00E062A2">
        <w:rPr>
          <w:b/>
          <w:bCs/>
          <w:color w:val="60BCCF"/>
          <w:lang w:val="fr-BE"/>
        </w:rPr>
        <w:t xml:space="preserve">[3 tentatives] </w:t>
      </w:r>
      <w:r w:rsidRPr="00E062A2">
        <w:rPr>
          <w:lang w:val="fr-BE"/>
        </w:rPr>
        <w:t>au cours d'une pério</w:t>
      </w:r>
      <w:r w:rsidRPr="00E062A2">
        <w:rPr>
          <w:lang w:val="fr-BE"/>
        </w:rPr>
        <w:t xml:space="preserve">de prédéterminée </w:t>
      </w:r>
      <w:r w:rsidRPr="00E062A2">
        <w:rPr>
          <w:b/>
          <w:bCs/>
          <w:color w:val="60BCCF"/>
          <w:lang w:val="fr-BE"/>
        </w:rPr>
        <w:t>[5 minutes].</w:t>
      </w:r>
    </w:p>
    <w:p w14:paraId="2FFBC2B2" w14:textId="77777777" w:rsidR="0004068B" w:rsidRPr="00E062A2" w:rsidRDefault="007F2B52" w:rsidP="00425FD0">
      <w:pPr>
        <w:pStyle w:val="BodyText"/>
        <w:numPr>
          <w:ilvl w:val="0"/>
          <w:numId w:val="46"/>
        </w:numPr>
        <w:rPr>
          <w:lang w:val="fr-BE"/>
        </w:rPr>
      </w:pPr>
      <w:r w:rsidRPr="00E062A2">
        <w:rPr>
          <w:lang w:val="fr-BE"/>
        </w:rPr>
        <w:t xml:space="preserve">L'accès au système devrait être suspendu lorsque le compte n'a pas été utilisé pendant une période prédéterminée </w:t>
      </w:r>
      <w:r w:rsidRPr="00E062A2">
        <w:rPr>
          <w:b/>
          <w:bCs/>
          <w:color w:val="60BCCF"/>
          <w:lang w:val="fr-BE"/>
        </w:rPr>
        <w:t>[par exemple 90 jours].</w:t>
      </w:r>
    </w:p>
    <w:p w14:paraId="6868FE41" w14:textId="77777777" w:rsidR="0004068B" w:rsidRDefault="007F2B52" w:rsidP="007F2B52">
      <w:pPr>
        <w:pStyle w:val="Heading2"/>
        <w:jc w:val="both"/>
        <w:rPr>
          <w:lang w:val="nl-BE"/>
        </w:rPr>
      </w:pPr>
      <w:r w:rsidRPr="00580297">
        <w:rPr>
          <w:lang w:val="nl-BE"/>
        </w:rPr>
        <w:t xml:space="preserve">Autorisation </w:t>
      </w:r>
    </w:p>
    <w:p w14:paraId="1EEEEA6B" w14:textId="77777777" w:rsidR="0004068B" w:rsidRDefault="007F2B52" w:rsidP="00425FD0">
      <w:pPr>
        <w:pStyle w:val="BodyText"/>
        <w:numPr>
          <w:ilvl w:val="0"/>
          <w:numId w:val="47"/>
        </w:numPr>
        <w:rPr>
          <w:lang w:val="nl-BE"/>
        </w:rPr>
      </w:pPr>
      <w:r w:rsidRPr="00E062A2">
        <w:rPr>
          <w:lang w:val="fr-BE"/>
        </w:rPr>
        <w:t xml:space="preserve">L'octroi ou le refus d'accès aux systèmes d'information ne peut être demandé en temps utile qu'au moyen d'un formulaire ACMF / ARF. </w:t>
      </w:r>
      <w:r w:rsidRPr="00580297">
        <w:rPr>
          <w:lang w:val="nl-BE"/>
        </w:rPr>
        <w:t>(</w:t>
      </w:r>
      <w:proofErr w:type="spellStart"/>
      <w:r w:rsidRPr="00580297">
        <w:rPr>
          <w:lang w:val="nl-BE"/>
        </w:rPr>
        <w:t>voir</w:t>
      </w:r>
      <w:proofErr w:type="spellEnd"/>
      <w:r w:rsidRPr="00580297">
        <w:rPr>
          <w:lang w:val="nl-BE"/>
        </w:rPr>
        <w:t xml:space="preserve"> ANNEXE 1 </w:t>
      </w:r>
      <w:proofErr w:type="spellStart"/>
      <w:r w:rsidRPr="00580297">
        <w:rPr>
          <w:lang w:val="nl-BE"/>
        </w:rPr>
        <w:t>Formulaires</w:t>
      </w:r>
      <w:proofErr w:type="spellEnd"/>
      <w:r w:rsidRPr="00580297">
        <w:rPr>
          <w:lang w:val="nl-BE"/>
        </w:rPr>
        <w:t>)</w:t>
      </w:r>
    </w:p>
    <w:p w14:paraId="4EA3C670" w14:textId="77777777" w:rsidR="0004068B" w:rsidRPr="00E062A2" w:rsidRDefault="007F2B52" w:rsidP="00425FD0">
      <w:pPr>
        <w:pStyle w:val="BodyText"/>
        <w:numPr>
          <w:ilvl w:val="0"/>
          <w:numId w:val="47"/>
        </w:numPr>
        <w:rPr>
          <w:lang w:val="fr-BE"/>
        </w:rPr>
      </w:pPr>
      <w:r w:rsidRPr="00E062A2">
        <w:rPr>
          <w:lang w:val="fr-BE"/>
        </w:rPr>
        <w:t>Cet accès ne peut être demandé que par le responsable RH ou le N+1 de la personne concernée.</w:t>
      </w:r>
    </w:p>
    <w:p w14:paraId="7C00A009" w14:textId="77777777" w:rsidR="0004068B" w:rsidRPr="00E062A2" w:rsidRDefault="007F2B52" w:rsidP="007F2B52">
      <w:pPr>
        <w:pStyle w:val="BodyText"/>
        <w:numPr>
          <w:ilvl w:val="0"/>
          <w:numId w:val="47"/>
        </w:numPr>
        <w:rPr>
          <w:lang w:val="fr-BE"/>
        </w:rPr>
      </w:pPr>
      <w:r w:rsidRPr="00E062A2">
        <w:rPr>
          <w:lang w:val="fr-BE"/>
        </w:rPr>
        <w:t>Ava</w:t>
      </w:r>
      <w:r w:rsidRPr="00E062A2">
        <w:rPr>
          <w:lang w:val="fr-BE"/>
        </w:rPr>
        <w:t xml:space="preserve">nt que l'accès ne soit accordé, le </w:t>
      </w:r>
      <w:r w:rsidRPr="00E062A2">
        <w:rPr>
          <w:b/>
          <w:bCs/>
          <w:color w:val="60BCCF"/>
          <w:lang w:val="fr-BE"/>
        </w:rPr>
        <w:t xml:space="preserve">[responsable de l'organisation] </w:t>
      </w:r>
      <w:r w:rsidRPr="00E062A2">
        <w:rPr>
          <w:lang w:val="fr-BE"/>
        </w:rPr>
        <w:t xml:space="preserve">doit donner son accord formel. Le </w:t>
      </w:r>
      <w:r w:rsidRPr="00E062A2">
        <w:rPr>
          <w:b/>
          <w:bCs/>
          <w:color w:val="60BCCF"/>
          <w:lang w:val="fr-BE"/>
        </w:rPr>
        <w:t xml:space="preserve">[responsable informatique] </w:t>
      </w:r>
      <w:r w:rsidRPr="00E062A2">
        <w:rPr>
          <w:lang w:val="fr-BE"/>
        </w:rPr>
        <w:t>doit accorder, mettre à jour et supprimer les droits d'accès.</w:t>
      </w:r>
    </w:p>
    <w:p w14:paraId="3F0861F2" w14:textId="77777777" w:rsidR="0004068B" w:rsidRPr="00E062A2" w:rsidRDefault="007F2B52" w:rsidP="00425FD0">
      <w:pPr>
        <w:pStyle w:val="BodyText"/>
        <w:numPr>
          <w:ilvl w:val="0"/>
          <w:numId w:val="47"/>
        </w:numPr>
        <w:rPr>
          <w:lang w:val="fr-BE"/>
        </w:rPr>
      </w:pPr>
      <w:r w:rsidRPr="00E062A2">
        <w:rPr>
          <w:lang w:val="fr-BE"/>
        </w:rPr>
        <w:t>Les groupes d'autorisation sont utilisés autant que possible et l'</w:t>
      </w:r>
      <w:r w:rsidRPr="00E062A2">
        <w:rPr>
          <w:lang w:val="fr-BE"/>
        </w:rPr>
        <w:t>accès est accordé en fonction des rôles.</w:t>
      </w:r>
      <w:bookmarkEnd w:id="4"/>
      <w:bookmarkEnd w:id="5"/>
    </w:p>
    <w:sectPr w:rsidR="0004068B" w:rsidRPr="00E062A2"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3E725" w14:textId="77777777" w:rsidR="007D091B" w:rsidRDefault="007D091B" w:rsidP="004171AE">
      <w:r>
        <w:separator/>
      </w:r>
    </w:p>
  </w:endnote>
  <w:endnote w:type="continuationSeparator" w:id="0">
    <w:p w14:paraId="747D0805" w14:textId="77777777" w:rsidR="007D091B" w:rsidRDefault="007D091B"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5DA52D2F" w14:textId="77777777" w:rsidR="0004068B" w:rsidRDefault="007F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73DA0CC5" w14:textId="77777777" w:rsidR="0004068B" w:rsidRDefault="007F2B52">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0F28C779" w14:textId="77777777" w:rsidR="0004068B" w:rsidRDefault="007F2B52">
    <w:pPr>
      <w:pStyle w:val="Paragraphestandard"/>
      <w:spacing w:after="124"/>
      <w:ind w:right="701"/>
      <w:jc w:val="right"/>
      <w:rPr>
        <w:rFonts w:ascii="Lato Medium" w:hAnsi="Lato Medium" w:cs="Lato Medium"/>
        <w:color w:val="3B448C"/>
        <w:sz w:val="20"/>
        <w:szCs w:val="20"/>
      </w:rPr>
    </w:pPr>
    <w:r w:rsidRPr="00E062A2">
      <w:rPr>
        <w:rFonts w:ascii="Arial" w:hAnsi="Arial" w:cs="Arial"/>
        <w:color w:val="6782B4" w:themeColor="accent2"/>
        <w:sz w:val="20"/>
        <w:szCs w:val="20"/>
        <w:lang w:val="fr-BE"/>
      </w:rPr>
      <w:t xml:space="preserve">Plan d'intervention en cas d'incident cybernétique </w:t>
    </w:r>
    <w:r w:rsidR="005D03F1" w:rsidRPr="00E062A2">
      <w:rPr>
        <w:rFonts w:ascii="Arial" w:hAnsi="Arial" w:cs="Arial"/>
        <w:color w:val="35457F" w:themeColor="text2"/>
        <w:sz w:val="20"/>
        <w:szCs w:val="20"/>
        <w:lang w:val="fr-BE"/>
      </w:rPr>
      <w:t xml:space="preserve">- </w:t>
    </w:r>
    <w:r w:rsidR="00DE6108" w:rsidRPr="00DE6108">
      <w:rPr>
        <w:rFonts w:ascii="Lato Thin" w:hAnsi="Lato Thin" w:cs="Lato Thin"/>
        <w:noProof/>
        <w:color w:val="35457F" w:themeColor="text2"/>
        <w:sz w:val="20"/>
        <w:szCs w:val="20"/>
      </w:rPr>
      <w:t xml:space="preserve">Modèle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39902" w14:textId="77777777" w:rsidR="0004068B" w:rsidRDefault="007F2B52">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D8917" w14:textId="77777777" w:rsidR="007D091B" w:rsidRDefault="007D091B" w:rsidP="004171AE">
      <w:r>
        <w:separator/>
      </w:r>
    </w:p>
  </w:footnote>
  <w:footnote w:type="continuationSeparator" w:id="0">
    <w:p w14:paraId="0DAB7685" w14:textId="77777777" w:rsidR="007D091B" w:rsidRDefault="007D091B"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C11EE" w14:textId="77777777" w:rsidR="0004068B" w:rsidRDefault="007F2B52">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A470058"/>
    <w:multiLevelType w:val="hybridMultilevel"/>
    <w:tmpl w:val="C72C9B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D3140EF"/>
    <w:multiLevelType w:val="hybridMultilevel"/>
    <w:tmpl w:val="DEBC8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49D1066"/>
    <w:multiLevelType w:val="hybridMultilevel"/>
    <w:tmpl w:val="7840D0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8" w15:restartNumberingAfterBreak="0">
    <w:nsid w:val="21DA609B"/>
    <w:multiLevelType w:val="hybridMultilevel"/>
    <w:tmpl w:val="CB946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94D3768"/>
    <w:multiLevelType w:val="hybridMultilevel"/>
    <w:tmpl w:val="A2A2C1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41"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7"/>
  </w:num>
  <w:num w:numId="4" w16cid:durableId="1977946518">
    <w:abstractNumId w:val="36"/>
  </w:num>
  <w:num w:numId="5" w16cid:durableId="993798016">
    <w:abstractNumId w:val="16"/>
  </w:num>
  <w:num w:numId="6" w16cid:durableId="333145513">
    <w:abstractNumId w:val="35"/>
  </w:num>
  <w:num w:numId="7" w16cid:durableId="1912960047">
    <w:abstractNumId w:val="5"/>
  </w:num>
  <w:num w:numId="8" w16cid:durableId="917709478">
    <w:abstractNumId w:val="37"/>
  </w:num>
  <w:num w:numId="9" w16cid:durableId="1732003305">
    <w:abstractNumId w:val="10"/>
  </w:num>
  <w:num w:numId="10" w16cid:durableId="1111168895">
    <w:abstractNumId w:val="27"/>
  </w:num>
  <w:num w:numId="11" w16cid:durableId="345986576">
    <w:abstractNumId w:val="44"/>
  </w:num>
  <w:num w:numId="12" w16cid:durableId="685787629">
    <w:abstractNumId w:val="34"/>
  </w:num>
  <w:num w:numId="13" w16cid:durableId="724836360">
    <w:abstractNumId w:val="4"/>
  </w:num>
  <w:num w:numId="14" w16cid:durableId="46221904">
    <w:abstractNumId w:val="20"/>
  </w:num>
  <w:num w:numId="15" w16cid:durableId="300548602">
    <w:abstractNumId w:val="2"/>
  </w:num>
  <w:num w:numId="16" w16cid:durableId="1251963789">
    <w:abstractNumId w:val="30"/>
  </w:num>
  <w:num w:numId="17" w16cid:durableId="1825774094">
    <w:abstractNumId w:val="23"/>
  </w:num>
  <w:num w:numId="18" w16cid:durableId="1456752724">
    <w:abstractNumId w:val="11"/>
  </w:num>
  <w:num w:numId="19" w16cid:durableId="28384239">
    <w:abstractNumId w:val="29"/>
  </w:num>
  <w:num w:numId="20" w16cid:durableId="1767270444">
    <w:abstractNumId w:val="21"/>
  </w:num>
  <w:num w:numId="21" w16cid:durableId="1870945772">
    <w:abstractNumId w:val="38"/>
  </w:num>
  <w:num w:numId="22" w16cid:durableId="362898937">
    <w:abstractNumId w:val="26"/>
  </w:num>
  <w:num w:numId="23" w16cid:durableId="351340801">
    <w:abstractNumId w:val="15"/>
  </w:num>
  <w:num w:numId="24" w16cid:durableId="1268927857">
    <w:abstractNumId w:val="25"/>
  </w:num>
  <w:num w:numId="25" w16cid:durableId="2028678990">
    <w:abstractNumId w:val="1"/>
  </w:num>
  <w:num w:numId="26" w16cid:durableId="892542817">
    <w:abstractNumId w:val="1"/>
  </w:num>
  <w:num w:numId="27" w16cid:durableId="1085808798">
    <w:abstractNumId w:val="14"/>
  </w:num>
  <w:num w:numId="28" w16cid:durableId="1429154428">
    <w:abstractNumId w:val="19"/>
  </w:num>
  <w:num w:numId="29" w16cid:durableId="195235211">
    <w:abstractNumId w:val="31"/>
  </w:num>
  <w:num w:numId="30" w16cid:durableId="1227450468">
    <w:abstractNumId w:val="7"/>
  </w:num>
  <w:num w:numId="31" w16cid:durableId="949704253">
    <w:abstractNumId w:val="24"/>
  </w:num>
  <w:num w:numId="32" w16cid:durableId="2068797505">
    <w:abstractNumId w:val="43"/>
  </w:num>
  <w:num w:numId="33" w16cid:durableId="1089086482">
    <w:abstractNumId w:val="8"/>
  </w:num>
  <w:num w:numId="34" w16cid:durableId="914165014">
    <w:abstractNumId w:val="28"/>
  </w:num>
  <w:num w:numId="35" w16cid:durableId="245268141">
    <w:abstractNumId w:val="3"/>
  </w:num>
  <w:num w:numId="36" w16cid:durableId="653800277">
    <w:abstractNumId w:val="40"/>
  </w:num>
  <w:num w:numId="37" w16cid:durableId="1937595572">
    <w:abstractNumId w:val="33"/>
  </w:num>
  <w:num w:numId="38" w16cid:durableId="24794664">
    <w:abstractNumId w:val="39"/>
  </w:num>
  <w:num w:numId="39" w16cid:durableId="1458062820">
    <w:abstractNumId w:val="41"/>
  </w:num>
  <w:num w:numId="40" w16cid:durableId="2076857560">
    <w:abstractNumId w:val="22"/>
  </w:num>
  <w:num w:numId="41" w16cid:durableId="1690132939">
    <w:abstractNumId w:val="42"/>
  </w:num>
  <w:num w:numId="42" w16cid:durableId="1838760614">
    <w:abstractNumId w:val="13"/>
  </w:num>
  <w:num w:numId="43" w16cid:durableId="2059012800">
    <w:abstractNumId w:val="6"/>
  </w:num>
  <w:num w:numId="44" w16cid:durableId="433864323">
    <w:abstractNumId w:val="32"/>
  </w:num>
  <w:num w:numId="45" w16cid:durableId="393820627">
    <w:abstractNumId w:val="9"/>
  </w:num>
  <w:num w:numId="46" w16cid:durableId="1123422793">
    <w:abstractNumId w:val="18"/>
  </w:num>
  <w:num w:numId="47" w16cid:durableId="186235214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072F7"/>
    <w:rsid w:val="00030909"/>
    <w:rsid w:val="00030B8D"/>
    <w:rsid w:val="000312C0"/>
    <w:rsid w:val="0003712D"/>
    <w:rsid w:val="0003790B"/>
    <w:rsid w:val="0004068B"/>
    <w:rsid w:val="00044247"/>
    <w:rsid w:val="00052516"/>
    <w:rsid w:val="00052627"/>
    <w:rsid w:val="00052CE7"/>
    <w:rsid w:val="000567F5"/>
    <w:rsid w:val="00062261"/>
    <w:rsid w:val="0006435B"/>
    <w:rsid w:val="00071446"/>
    <w:rsid w:val="00072D80"/>
    <w:rsid w:val="000808D5"/>
    <w:rsid w:val="00096127"/>
    <w:rsid w:val="00096E78"/>
    <w:rsid w:val="00097A7D"/>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2D13"/>
    <w:rsid w:val="001241FD"/>
    <w:rsid w:val="00141B30"/>
    <w:rsid w:val="00142007"/>
    <w:rsid w:val="0015404C"/>
    <w:rsid w:val="00155EA5"/>
    <w:rsid w:val="0015768E"/>
    <w:rsid w:val="001607A8"/>
    <w:rsid w:val="00162127"/>
    <w:rsid w:val="00165D81"/>
    <w:rsid w:val="0017110A"/>
    <w:rsid w:val="00175B18"/>
    <w:rsid w:val="00175FDD"/>
    <w:rsid w:val="001808F1"/>
    <w:rsid w:val="00181E37"/>
    <w:rsid w:val="001823BB"/>
    <w:rsid w:val="00182C32"/>
    <w:rsid w:val="00187D51"/>
    <w:rsid w:val="00194F03"/>
    <w:rsid w:val="001956B5"/>
    <w:rsid w:val="00197534"/>
    <w:rsid w:val="001B6E0E"/>
    <w:rsid w:val="001D6A9F"/>
    <w:rsid w:val="001D7E87"/>
    <w:rsid w:val="001E2D3A"/>
    <w:rsid w:val="001E4179"/>
    <w:rsid w:val="00200D6C"/>
    <w:rsid w:val="00214724"/>
    <w:rsid w:val="00221D64"/>
    <w:rsid w:val="0023427D"/>
    <w:rsid w:val="00241910"/>
    <w:rsid w:val="0024333B"/>
    <w:rsid w:val="00246DEB"/>
    <w:rsid w:val="0025195C"/>
    <w:rsid w:val="00252192"/>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32843"/>
    <w:rsid w:val="00345467"/>
    <w:rsid w:val="00352005"/>
    <w:rsid w:val="0035275C"/>
    <w:rsid w:val="0035769E"/>
    <w:rsid w:val="00373777"/>
    <w:rsid w:val="003741A7"/>
    <w:rsid w:val="00375DD8"/>
    <w:rsid w:val="00385C8E"/>
    <w:rsid w:val="00395F54"/>
    <w:rsid w:val="0039620F"/>
    <w:rsid w:val="00397F84"/>
    <w:rsid w:val="003A3A0A"/>
    <w:rsid w:val="003B503B"/>
    <w:rsid w:val="003C6274"/>
    <w:rsid w:val="003C7393"/>
    <w:rsid w:val="003F0C20"/>
    <w:rsid w:val="003F39EF"/>
    <w:rsid w:val="004038CD"/>
    <w:rsid w:val="00406AD2"/>
    <w:rsid w:val="00414CFF"/>
    <w:rsid w:val="00415C86"/>
    <w:rsid w:val="00415D7A"/>
    <w:rsid w:val="004171AE"/>
    <w:rsid w:val="00425FD0"/>
    <w:rsid w:val="00426E8B"/>
    <w:rsid w:val="004350C6"/>
    <w:rsid w:val="00443496"/>
    <w:rsid w:val="00444B10"/>
    <w:rsid w:val="00452BF2"/>
    <w:rsid w:val="00481ABD"/>
    <w:rsid w:val="00483FD5"/>
    <w:rsid w:val="00484D66"/>
    <w:rsid w:val="00484D81"/>
    <w:rsid w:val="00490C13"/>
    <w:rsid w:val="00494FC8"/>
    <w:rsid w:val="004B0619"/>
    <w:rsid w:val="004B30FB"/>
    <w:rsid w:val="004B4DEF"/>
    <w:rsid w:val="004C280D"/>
    <w:rsid w:val="004D18D5"/>
    <w:rsid w:val="004E44AC"/>
    <w:rsid w:val="004E6A0C"/>
    <w:rsid w:val="004F1295"/>
    <w:rsid w:val="004F1B86"/>
    <w:rsid w:val="004F2CCD"/>
    <w:rsid w:val="004F6C88"/>
    <w:rsid w:val="004F737C"/>
    <w:rsid w:val="0050024D"/>
    <w:rsid w:val="0050048C"/>
    <w:rsid w:val="00500936"/>
    <w:rsid w:val="0050587E"/>
    <w:rsid w:val="00515DF0"/>
    <w:rsid w:val="005276E2"/>
    <w:rsid w:val="00530297"/>
    <w:rsid w:val="00540D5B"/>
    <w:rsid w:val="00543504"/>
    <w:rsid w:val="00552083"/>
    <w:rsid w:val="00554600"/>
    <w:rsid w:val="00555DDB"/>
    <w:rsid w:val="0057197E"/>
    <w:rsid w:val="00574969"/>
    <w:rsid w:val="00580297"/>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C663A"/>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091B"/>
    <w:rsid w:val="007D49C8"/>
    <w:rsid w:val="007D692D"/>
    <w:rsid w:val="007F17CB"/>
    <w:rsid w:val="007F2B52"/>
    <w:rsid w:val="007F7B05"/>
    <w:rsid w:val="008007F7"/>
    <w:rsid w:val="0080469A"/>
    <w:rsid w:val="008112B5"/>
    <w:rsid w:val="008167BC"/>
    <w:rsid w:val="00817BB5"/>
    <w:rsid w:val="00817CD8"/>
    <w:rsid w:val="00826F63"/>
    <w:rsid w:val="008303DE"/>
    <w:rsid w:val="00831748"/>
    <w:rsid w:val="008A4862"/>
    <w:rsid w:val="008A4C6A"/>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82D06"/>
    <w:rsid w:val="00991398"/>
    <w:rsid w:val="0099345F"/>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F44D1"/>
    <w:rsid w:val="00B03292"/>
    <w:rsid w:val="00B073D1"/>
    <w:rsid w:val="00B14CEB"/>
    <w:rsid w:val="00B326CA"/>
    <w:rsid w:val="00B32D82"/>
    <w:rsid w:val="00B35843"/>
    <w:rsid w:val="00B5167E"/>
    <w:rsid w:val="00B60296"/>
    <w:rsid w:val="00B61B1C"/>
    <w:rsid w:val="00B6244A"/>
    <w:rsid w:val="00B74EFD"/>
    <w:rsid w:val="00B8608B"/>
    <w:rsid w:val="00B93494"/>
    <w:rsid w:val="00B93B00"/>
    <w:rsid w:val="00BA2DBC"/>
    <w:rsid w:val="00BC23FD"/>
    <w:rsid w:val="00BD3B03"/>
    <w:rsid w:val="00BD687C"/>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54E7A"/>
    <w:rsid w:val="00C6195C"/>
    <w:rsid w:val="00C62C18"/>
    <w:rsid w:val="00C631E3"/>
    <w:rsid w:val="00C64FC6"/>
    <w:rsid w:val="00C7767A"/>
    <w:rsid w:val="00C85E86"/>
    <w:rsid w:val="00C86FBD"/>
    <w:rsid w:val="00C95B00"/>
    <w:rsid w:val="00CA1946"/>
    <w:rsid w:val="00CA38BF"/>
    <w:rsid w:val="00CB3210"/>
    <w:rsid w:val="00CC2077"/>
    <w:rsid w:val="00CC2CF6"/>
    <w:rsid w:val="00CC3463"/>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57C1D"/>
    <w:rsid w:val="00D81874"/>
    <w:rsid w:val="00D8279B"/>
    <w:rsid w:val="00D91B9B"/>
    <w:rsid w:val="00D94EE0"/>
    <w:rsid w:val="00D96592"/>
    <w:rsid w:val="00DA32AF"/>
    <w:rsid w:val="00DA449B"/>
    <w:rsid w:val="00DB3F70"/>
    <w:rsid w:val="00DB601E"/>
    <w:rsid w:val="00DC40A1"/>
    <w:rsid w:val="00DC5B39"/>
    <w:rsid w:val="00DC63C9"/>
    <w:rsid w:val="00DD407F"/>
    <w:rsid w:val="00DD7E95"/>
    <w:rsid w:val="00DE6108"/>
    <w:rsid w:val="00DF1159"/>
    <w:rsid w:val="00DF5AA7"/>
    <w:rsid w:val="00DF7421"/>
    <w:rsid w:val="00E00AA6"/>
    <w:rsid w:val="00E04612"/>
    <w:rsid w:val="00E062A2"/>
    <w:rsid w:val="00E137A8"/>
    <w:rsid w:val="00E13D79"/>
    <w:rsid w:val="00E17D64"/>
    <w:rsid w:val="00E21E31"/>
    <w:rsid w:val="00E22FAF"/>
    <w:rsid w:val="00E31079"/>
    <w:rsid w:val="00E35566"/>
    <w:rsid w:val="00E36857"/>
    <w:rsid w:val="00E4469A"/>
    <w:rsid w:val="00E46364"/>
    <w:rsid w:val="00E513E6"/>
    <w:rsid w:val="00E5384A"/>
    <w:rsid w:val="00E56283"/>
    <w:rsid w:val="00E57AB1"/>
    <w:rsid w:val="00E624C7"/>
    <w:rsid w:val="00E777B9"/>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47ADE"/>
    <w:rsid w:val="00F52BBC"/>
    <w:rsid w:val="00F63460"/>
    <w:rsid w:val="00F7052D"/>
    <w:rsid w:val="00F8611D"/>
    <w:rsid w:val="00F864FB"/>
    <w:rsid w:val="00F91B64"/>
    <w:rsid w:val="00FA2C99"/>
    <w:rsid w:val="00FA3F3A"/>
    <w:rsid w:val="00FA50FE"/>
    <w:rsid w:val="00FA60D6"/>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3DD7F3-7AAA-4323-ABF0-96A9E6DBF89D}">
  <ds:schemaRefs>
    <ds:schemaRef ds:uri="48df5784-83fe-46ae-8d25-fce6a602c372"/>
    <ds:schemaRef ds:uri="http://schemas.microsoft.com/sharepoint/v3"/>
    <ds:schemaRef ds:uri="http://www.w3.org/XML/1998/namespace"/>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B0275358-1BEF-4B67-93A2-177AA765D345}"/>
</file>

<file path=customXml/itemProps3.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4.xml><?xml version="1.0" encoding="utf-8"?>
<ds:datastoreItem xmlns:ds="http://schemas.openxmlformats.org/officeDocument/2006/customXml" ds:itemID="{B33D9BFA-5830-4040-9CC4-6BC47197F2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1107</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docId:345748E63A9DF47201401C12D205B754</cp:keywords>
  <dc:description/>
  <cp:lastModifiedBy>Jean Kervyn de Meerendré</cp:lastModifiedBy>
  <cp:revision>55</cp:revision>
  <dcterms:created xsi:type="dcterms:W3CDTF">2024-01-25T14:53:00Z</dcterms:created>
  <dcterms:modified xsi:type="dcterms:W3CDTF">2024-03-06T16:32:00Z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