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关于</w:t>
      </w:r>
      <w:r>
        <w:rPr>
          <w:rFonts w:hint="eastAsia" w:ascii="黑体" w:hAnsi="黑体" w:eastAsia="黑体"/>
          <w:sz w:val="32"/>
          <w:szCs w:val="32"/>
        </w:rPr>
        <w:t>2016届本科毕业论文管理相关事项的通知</w:t>
      </w:r>
    </w:p>
    <w:p>
      <w:pPr>
        <w:spacing w:beforeLines="50" w:afterLines="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一、本科论文装订及归档工作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1.毕业论文书写及装订格式统一按照《毕业论文撰写规范》执行。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2.毕业论文装订及相关材料装袋要求：毕业论文（含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任务书、</w:t>
      </w:r>
      <w:r>
        <w:rPr>
          <w:rFonts w:hint="eastAsia" w:ascii="仿宋" w:hAnsi="仿宋" w:eastAsia="仿宋"/>
          <w:sz w:val="24"/>
          <w:szCs w:val="24"/>
        </w:rPr>
        <w:t>翻译附录）装订成一本（称为材料A），如图1所示；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开题检查记录表、</w:t>
      </w:r>
      <w:r>
        <w:rPr>
          <w:rFonts w:hint="eastAsia" w:ascii="仿宋" w:hAnsi="仿宋" w:eastAsia="仿宋"/>
          <w:sz w:val="24"/>
          <w:szCs w:val="24"/>
        </w:rPr>
        <w:t>开题报告、中期检查表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中期报告</w:t>
      </w:r>
      <w:r>
        <w:rPr>
          <w:rFonts w:hint="eastAsia" w:ascii="仿宋" w:hAnsi="仿宋" w:eastAsia="仿宋"/>
          <w:sz w:val="24"/>
          <w:szCs w:val="24"/>
        </w:rPr>
        <w:t>及论文成绩评定表装订成下图所示的一本（称为材料B），如图2所示。将材料A、材料B、毕业论文光盘、以及</w:t>
      </w:r>
      <w:r>
        <w:rPr>
          <w:rFonts w:hint="eastAsia" w:ascii="仿宋" w:hAnsi="仿宋" w:eastAsia="仿宋"/>
          <w:b/>
          <w:sz w:val="24"/>
          <w:szCs w:val="24"/>
        </w:rPr>
        <w:t>其他</w:t>
      </w:r>
      <w:r>
        <w:rPr>
          <w:rFonts w:hint="eastAsia" w:ascii="仿宋" w:hAnsi="仿宋" w:eastAsia="仿宋"/>
          <w:sz w:val="24"/>
          <w:szCs w:val="24"/>
        </w:rPr>
        <w:t>比如图纸等，装入毕业论文资料袋中。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特别提醒：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毕业设计记录册</w:t>
      </w:r>
      <w:r>
        <w:rPr>
          <w:rFonts w:hint="eastAsia" w:ascii="仿宋" w:hAnsi="仿宋" w:eastAsia="仿宋"/>
          <w:sz w:val="24"/>
          <w:szCs w:val="24"/>
        </w:rPr>
        <w:t>由学院留存，</w:t>
      </w:r>
      <w:r>
        <w:rPr>
          <w:rFonts w:hint="eastAsia" w:ascii="仿宋" w:hAnsi="仿宋" w:eastAsia="仿宋"/>
          <w:b/>
          <w:color w:val="FF0000"/>
          <w:sz w:val="24"/>
          <w:szCs w:val="24"/>
        </w:rPr>
        <w:t>不要</w:t>
      </w:r>
      <w:r>
        <w:rPr>
          <w:rFonts w:hint="eastAsia" w:ascii="仿宋" w:hAnsi="仿宋" w:eastAsia="仿宋"/>
          <w:sz w:val="24"/>
          <w:szCs w:val="24"/>
        </w:rPr>
        <w:t>装到资料袋。</w:t>
      </w:r>
    </w:p>
    <w:p>
      <w:pPr>
        <w:keepNext/>
        <w:jc w:val="center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87645" cy="37490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l="27581" t="34477" r="22310" b="22383"/>
                    <a:stretch>
                      <a:fillRect/>
                    </a:stretch>
                  </pic:blipFill>
                  <pic:spPr>
                    <a:xfrm>
                      <a:off x="0" y="0"/>
                      <a:ext cx="5285736" cy="37472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图 </w:t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</w:instrText>
      </w:r>
      <w:r>
        <w:rPr>
          <w:rFonts w:hint="eastAsia" w:ascii="仿宋" w:hAnsi="仿宋" w:eastAsia="仿宋"/>
        </w:rPr>
        <w:instrText xml:space="preserve">SEQ 图 \* ARABIC</w:instrText>
      </w:r>
      <w:r>
        <w:rPr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hint="eastAsia" w:ascii="仿宋" w:hAnsi="仿宋" w:eastAsia="仿宋"/>
        </w:rPr>
        <w:t>. 论文装订封面（材料A）示例图     图2.三份材料装订封面（材料B）示例图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3.注重过程管理，关于2016届本科生论文（设计）工作的开题检查通知及简报、毕业论文（设计）中期检查情况通知及简报需要存档。</w:t>
      </w:r>
    </w:p>
    <w:p>
      <w:pPr>
        <w:spacing w:beforeLines="50" w:afterLines="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二、关于2016届本科毕业论文应完成的工作安排</w:t>
      </w:r>
    </w:p>
    <w:p>
      <w:pPr>
        <w:spacing w:line="360" w:lineRule="auto"/>
        <w:ind w:firstLine="480" w:firstLineChars="200"/>
        <w:jc w:val="left"/>
        <w:rPr>
          <w:rFonts w:ascii="仿宋" w:hAnsi="仿宋" w:eastAsia="仿宋" w:cs="Times New Roman"/>
          <w:kern w:val="0"/>
          <w:sz w:val="24"/>
          <w:szCs w:val="24"/>
        </w:rPr>
      </w:pPr>
      <w:r>
        <w:rPr>
          <w:rFonts w:hint="eastAsia" w:ascii="仿宋" w:hAnsi="仿宋" w:eastAsia="仿宋" w:cs="Times New Roman"/>
          <w:kern w:val="0"/>
          <w:sz w:val="24"/>
          <w:szCs w:val="24"/>
        </w:rPr>
        <w:t>本科生毕业设计（论文）工作时间紧，任务重，请各位老师客服困难，抓紧时间。</w:t>
      </w:r>
    </w:p>
    <w:p>
      <w:pPr>
        <w:spacing w:line="360" w:lineRule="auto"/>
        <w:ind w:firstLine="480" w:firstLineChars="20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 w:cs="Times New Roman"/>
          <w:kern w:val="0"/>
          <w:sz w:val="24"/>
          <w:szCs w:val="24"/>
        </w:rPr>
        <w:t>2016届毕业设计（论文）应完成的工作及时间如下表：</w:t>
      </w:r>
    </w:p>
    <w:tbl>
      <w:tblPr>
        <w:tblStyle w:val="8"/>
        <w:tblW w:w="9007" w:type="dxa"/>
        <w:tblInd w:w="93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56"/>
        <w:gridCol w:w="2823"/>
        <w:gridCol w:w="992"/>
        <w:gridCol w:w="4536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0" w:hRule="atLeast"/>
        </w:trPr>
        <w:tc>
          <w:tcPr>
            <w:tcW w:w="65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序号</w:t>
            </w:r>
          </w:p>
        </w:tc>
        <w:tc>
          <w:tcPr>
            <w:tcW w:w="28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工作内容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完成时间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0" w:hRule="atLeast"/>
        </w:trPr>
        <w:tc>
          <w:tcPr>
            <w:tcW w:w="656" w:type="dxa"/>
            <w:vMerge w:val="restart"/>
            <w:tcBorders>
              <w:top w:val="nil"/>
              <w:left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1</w:t>
            </w:r>
          </w:p>
        </w:tc>
        <w:tc>
          <w:tcPr>
            <w:tcW w:w="2823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外审论文抽查学号最后两位</w:t>
            </w:r>
            <w:r>
              <w:rPr>
                <w:rFonts w:hint="eastAsia" w:ascii="仿宋" w:hAnsi="仿宋" w:eastAsia="仿宋" w:cs="Times New Roman"/>
                <w:kern w:val="0"/>
                <w:szCs w:val="21"/>
              </w:rPr>
              <w:t>08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>、</w:t>
            </w:r>
            <w:r>
              <w:rPr>
                <w:rFonts w:ascii="仿宋" w:hAnsi="仿宋" w:eastAsia="仿宋" w:cs="Times New Roman"/>
                <w:kern w:val="0"/>
                <w:szCs w:val="21"/>
              </w:rPr>
              <w:t>2</w:t>
            </w:r>
            <w:r>
              <w:rPr>
                <w:rFonts w:hint="eastAsia" w:ascii="仿宋" w:hAnsi="仿宋" w:eastAsia="仿宋" w:cs="Times New Roman"/>
                <w:kern w:val="0"/>
                <w:szCs w:val="21"/>
              </w:rPr>
              <w:t>8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>（缺号不用顺延）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6月1日前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发送2016届本科外审论文信息汇总表（fanghong@dhu.edu.cn）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0" w:hRule="atLeast"/>
        </w:trPr>
        <w:tc>
          <w:tcPr>
            <w:tcW w:w="656" w:type="dxa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</w:p>
        </w:tc>
        <w:tc>
          <w:tcPr>
            <w:tcW w:w="282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6月8日前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送论文电子版（包括外文翻译）（机械、建筑专业的包括设计的电子设计图，程序设计的包括代码）,论文材料以专业为单位打包，学生论文材料命名规则为：专业+学号+姓名。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5" w:hRule="atLeast"/>
        </w:trPr>
        <w:tc>
          <w:tcPr>
            <w:tcW w:w="6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2016届校本科优秀毕业论文信息汇总表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6月6日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尽早发送表格的电子版（毛老师，mzmedu@dhu.edu.cn）。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0" w:hRule="atLeast"/>
        </w:trPr>
        <w:tc>
          <w:tcPr>
            <w:tcW w:w="6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毕业设计（论文）成绩评定表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6月12日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一式两份送交教务处（一份教务处存档，另外一份学办放学生档案。）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0" w:hRule="atLeast"/>
        </w:trPr>
        <w:tc>
          <w:tcPr>
            <w:tcW w:w="6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/>
              </w:rPr>
              <w:t>交校本科优秀毕业论文推荐表及</w:t>
            </w: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Cs w:val="21"/>
              </w:rPr>
              <w:t>校优秀毕业设计（论文）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center"/>
          </w:tcPr>
          <w:p>
            <w:pPr>
              <w:widowControl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6月12日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推荐表需要签字及盖章，存档的材料只交纸质版论文。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0" w:hRule="atLeast"/>
        </w:trPr>
        <w:tc>
          <w:tcPr>
            <w:tcW w:w="6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毕业设计（论文）评价体系表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6月12日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书面材料经教学院长签名后，送交教务处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0" w:hRule="atLeast"/>
        </w:trPr>
        <w:tc>
          <w:tcPr>
            <w:tcW w:w="656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毕业设计（论文）工作总结表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6月12日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书面材料教学院长签名后，送交教务处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0" w:hRule="atLeast"/>
        </w:trPr>
        <w:tc>
          <w:tcPr>
            <w:tcW w:w="656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7</w:t>
            </w:r>
          </w:p>
        </w:tc>
        <w:tc>
          <w:tcPr>
            <w:tcW w:w="2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毕业设计（论文）数据盘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6月12日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即光盘</w:t>
            </w:r>
          </w:p>
        </w:tc>
      </w:tr>
    </w:tbl>
    <w:p>
      <w:pPr>
        <w:rPr>
          <w:rFonts w:ascii="仿宋" w:hAnsi="仿宋" w:eastAsia="仿宋"/>
        </w:rPr>
      </w:pPr>
    </w:p>
    <w:p>
      <w:pPr>
        <w:spacing w:line="360" w:lineRule="auto"/>
        <w:jc w:val="righ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教务处实践科</w:t>
      </w:r>
    </w:p>
    <w:p>
      <w:pPr>
        <w:spacing w:line="360" w:lineRule="auto"/>
        <w:jc w:val="righ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2016年5月16日</w:t>
      </w:r>
    </w:p>
    <w:p>
      <w:pPr>
        <w:rPr>
          <w:rFonts w:ascii="仿宋" w:hAnsi="仿宋" w:eastAsia="仿宋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2344"/>
    <w:rsid w:val="00046C36"/>
    <w:rsid w:val="001003AD"/>
    <w:rsid w:val="00101954"/>
    <w:rsid w:val="0013273D"/>
    <w:rsid w:val="00180926"/>
    <w:rsid w:val="001864F8"/>
    <w:rsid w:val="001E2F2E"/>
    <w:rsid w:val="00246200"/>
    <w:rsid w:val="00381AD8"/>
    <w:rsid w:val="003839DD"/>
    <w:rsid w:val="00394D53"/>
    <w:rsid w:val="003D73CA"/>
    <w:rsid w:val="003E122F"/>
    <w:rsid w:val="00480482"/>
    <w:rsid w:val="004E57EF"/>
    <w:rsid w:val="004E5BB7"/>
    <w:rsid w:val="00512513"/>
    <w:rsid w:val="005143A9"/>
    <w:rsid w:val="005A17A0"/>
    <w:rsid w:val="005C7209"/>
    <w:rsid w:val="00611990"/>
    <w:rsid w:val="00695DA8"/>
    <w:rsid w:val="0072184B"/>
    <w:rsid w:val="00812CA0"/>
    <w:rsid w:val="008235DC"/>
    <w:rsid w:val="0089748C"/>
    <w:rsid w:val="009877C3"/>
    <w:rsid w:val="009A38A2"/>
    <w:rsid w:val="009C7E3B"/>
    <w:rsid w:val="00A73387"/>
    <w:rsid w:val="00A74278"/>
    <w:rsid w:val="00B9321B"/>
    <w:rsid w:val="00BD41F7"/>
    <w:rsid w:val="00C01A32"/>
    <w:rsid w:val="00C03545"/>
    <w:rsid w:val="00C059E0"/>
    <w:rsid w:val="00C54E4E"/>
    <w:rsid w:val="00C667BD"/>
    <w:rsid w:val="00D06386"/>
    <w:rsid w:val="00D07B53"/>
    <w:rsid w:val="00E27BD0"/>
    <w:rsid w:val="00E42FDE"/>
    <w:rsid w:val="00E57244"/>
    <w:rsid w:val="00F903EF"/>
    <w:rsid w:val="00FD2344"/>
    <w:rsid w:val="4367783A"/>
    <w:rsid w:val="490D6D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SDWM</Company>
  <Pages>3</Pages>
  <Words>139</Words>
  <Characters>795</Characters>
  <Lines>6</Lines>
  <Paragraphs>1</Paragraphs>
  <ScaleCrop>false</ScaleCrop>
  <LinksUpToDate>false</LinksUpToDate>
  <CharactersWithSpaces>933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2016-05-18T01:33:00Z</dcterms:created>
  <dc:creator>123</dc:creator>
  <cp:lastModifiedBy>DELL</cp:lastModifiedBy>
  <cp:lastPrinted>2016-05-18T01:31:00Z</cp:lastPrinted>
  <dcterms:modified xsi:type="dcterms:W3CDTF">2016-05-18T02:18:55Z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