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AC4A1" w14:textId="77777777" w:rsidR="005C7A72" w:rsidRDefault="009A2A24">
      <w:pPr>
        <w:pStyle w:val="DOP"/>
      </w:pPr>
      <w:r>
        <w:t>Date of submission May 28, 2026; date of current version May 23, 2026.</w:t>
      </w:r>
    </w:p>
    <w:p w14:paraId="4B56409D" w14:textId="77777777" w:rsidR="005C7A72" w:rsidRDefault="009A2A24">
      <w:pPr>
        <w:pStyle w:val="DOI"/>
      </w:pPr>
      <w:r>
        <w:t>Digital Object Identifier: Not applicable for course-project submission.</w:t>
      </w:r>
    </w:p>
    <w:p w14:paraId="46F995A3" w14:textId="77777777" w:rsidR="005C7A72" w:rsidRDefault="009A2A24">
      <w:pPr>
        <w:pStyle w:val="PaperTitle"/>
      </w:pPr>
      <w:r>
        <w:t>SCRE-Credit: Validation-Locked, Cost-Aware Credit-Risk Screening With Manual Review</w:t>
      </w:r>
    </w:p>
    <w:p w14:paraId="6FEE5671" w14:textId="77777777" w:rsidR="005C7A72" w:rsidRDefault="009A2A24">
      <w:pPr>
        <w:pStyle w:val="AU"/>
      </w:pPr>
      <w:r>
        <w:t xml:space="preserve">Resul </w:t>
      </w:r>
      <w:r>
        <w:t>Ozkale, Student ID 2540041007</w:t>
      </w:r>
    </w:p>
    <w:p w14:paraId="25773127" w14:textId="77777777" w:rsidR="005C7A72" w:rsidRDefault="009A2A24">
      <w:pPr>
        <w:pStyle w:val="PINoSpace"/>
      </w:pPr>
      <w:r>
        <w:t>Student, ECE 565 - Data Mining, Spring 2026</w:t>
      </w:r>
    </w:p>
    <w:p w14:paraId="68A561A2" w14:textId="77777777" w:rsidR="005C7A72" w:rsidRDefault="009A2A24">
      <w:pPr>
        <w:pStyle w:val="PI"/>
      </w:pPr>
      <w:r>
        <w:t>Corresponding author: Resul Ozkale.</w:t>
      </w:r>
    </w:p>
    <w:p w14:paraId="2B9F7419" w14:textId="77777777" w:rsidR="005C7A72" w:rsidRDefault="009A2A24">
      <w:pPr>
        <w:pStyle w:val="DipnotMetni"/>
      </w:pPr>
      <w:r>
        <w:t>This report was prepared as the final project report for ECE 565 - Data Mining. The accompanying repository contains the reproducible source code, dependency files, generated tables, figures, and audit artifacts used in this report.</w:t>
      </w:r>
    </w:p>
    <w:p w14:paraId="1F359A4E" w14:textId="77777777" w:rsidR="005C7A72" w:rsidRDefault="009A2A24">
      <w:pPr>
        <w:pStyle w:val="Abstract"/>
      </w:pPr>
      <w:r>
        <w:t>ABSTRACT This report presents Stability- and Cost-Regularized Ensemble for Credit Risk (SCRE-Credit), an audit-aware credit-risk screening study that combines tabular prediction, probability calibration, cost-sensitive thresholding, explanation diagnostics, and manual-review decision design. The project uses the Taiwan credit-card default dataset as the primary development setting and FICO HELOC as an external portability check. The final revised V2 policy set refers to the audited, validation-locked manual-review policies selected before held-out test reporting. SCRE-Credit is treated as a reliability-aware framework for combining discrimination, calibration, cost, stability, faithfulness, and review-prioritization evidence, not as a model that defeats every baseline. A final weakness-closing phase tested recall-constrained Taiwan policies, capacity-aware review, HELOC specificity-focused thresholds, instance-dependent cost sensitivity, and repaired manual-review metric definitions; none provided an audit-ready replacement for the final revised V2 policies. The final operational evidence therefore remains dataset-specific: CatBoost with manual review for Taiwan and a scorecard with manual review for HELOC. The intended use is screening and manual-review support, not automatic rejection.</w:t>
      </w:r>
    </w:p>
    <w:p w14:paraId="666D7727" w14:textId="77777777" w:rsidR="005C7A72" w:rsidRDefault="009A2A24">
      <w:pPr>
        <w:pStyle w:val="IT"/>
      </w:pPr>
      <w:r>
        <w:rPr>
          <w:b/>
        </w:rPr>
        <w:t xml:space="preserve">INDEX TERMS </w:t>
      </w:r>
      <w:r>
        <w:t>calibration, credit risk, explainable machine learning, manual review, threshold selection.</w:t>
      </w:r>
    </w:p>
    <w:p w14:paraId="108104B0" w14:textId="77777777" w:rsidR="005C7A72" w:rsidRDefault="005C7A72">
      <w:pPr>
        <w:sectPr w:rsidR="005C7A72" w:rsidSect="00CB2DB1">
          <w:headerReference w:type="even" r:id="rId8"/>
          <w:headerReference w:type="default" r:id="rId9"/>
          <w:footerReference w:type="even" r:id="rId10"/>
          <w:footerReference w:type="default" r:id="rId11"/>
          <w:headerReference w:type="first" r:id="rId12"/>
          <w:footerReference w:type="first" r:id="rId13"/>
          <w:pgSz w:w="11520" w:h="15660" w:code="1"/>
          <w:pgMar w:top="1280" w:right="740" w:bottom="1040" w:left="740" w:header="360" w:footer="640" w:gutter="0"/>
          <w:cols w:space="720"/>
          <w:docGrid w:linePitch="360"/>
        </w:sectPr>
      </w:pPr>
    </w:p>
    <w:p w14:paraId="409D8E88" w14:textId="77777777" w:rsidR="005C7A72" w:rsidRDefault="009A2A24">
      <w:pPr>
        <w:pStyle w:val="H1ListNoSpace"/>
      </w:pPr>
      <w:r>
        <w:t>INTRODUCTION</w:t>
      </w:r>
    </w:p>
    <w:p w14:paraId="7771D2E4" w14:textId="77777777" w:rsidR="005C7A72" w:rsidRDefault="009A2A24">
      <w:pPr>
        <w:pStyle w:val="PARA"/>
      </w:pPr>
      <w:r>
        <w:t>Credit-risk modeling is not only a binary classification exercise. A model that catches many future defaults can still be operationally weak if it generates excessive false positives, because a false alarm can send a non-defaulting customer into unnecessary review or an unjustified adverse-decision workflow. This project therefore treats default prediction as a screening and manual-review problem rather than a direct automatic rejection problem.</w:t>
      </w:r>
    </w:p>
    <w:p w14:paraId="64B46CB6" w14:textId="77777777" w:rsidR="005C7A72" w:rsidRDefault="009A2A24">
      <w:pPr>
        <w:pStyle w:val="PARA"/>
      </w:pPr>
      <w:r>
        <w:t>The primary empirical setting is the Default of Credit Card Clients dataset from the UCI Machine Learning Repository [1], whose original study focused on probability-of-default prediction [2]. A second dataset from the FICO Explainable Machine Learning Challenge is used as external validation evidence through the cleaned OpenML mirror [3], [4]. The two datasets are not merged, because they represent different schemas and lending contexts.</w:t>
      </w:r>
    </w:p>
    <w:p w14:paraId="78BB73EE" w14:textId="77777777" w:rsidR="005C7A72" w:rsidRDefault="009A2A24">
      <w:pPr>
        <w:pStyle w:val="PARA"/>
      </w:pPr>
      <w:r>
        <w:t>The generated artifacts use three version labels that must be read carefully. V2 denotes the audit-ready validation-locked final policy set. Final Attempt denotes a later stress-test package that explored stronger alternatives. Weakness-closing denotes the final diagnostic phase that repaired manual-review metrics and tested whether recall, specificity, review capacity, and proxy-cost weaknesses could replace V2. No V3 replacement was selected because no alternative satisfied all audit and operational criteria.</w:t>
      </w:r>
    </w:p>
    <w:p w14:paraId="4A5B6E4B" w14:textId="77777777" w:rsidR="005C7A72" w:rsidRDefault="009A2A24">
      <w:pPr>
        <w:pStyle w:val="PARA"/>
      </w:pPr>
      <w:r>
        <w:t>The final operational recommendations are dataset-specific: CatBoost with manual review for Taiwan and a scorecard with manual review for HELOC. A reader should interpret these as screening tools. They estimate risk, route uncertain cases to human review, and reduce false-positive pressure; they do not automatically reject applicants.</w:t>
      </w:r>
    </w:p>
    <w:p w14:paraId="30A2FE67" w14:textId="77777777" w:rsidR="005C7A72" w:rsidRDefault="009A2A24">
      <w:pPr>
        <w:pStyle w:val="PARA"/>
      </w:pPr>
      <w:r>
        <w:t>This framing is deliberately conservative. It recognizes that high recall can coexist with too many false positives, that calibration affects threshold decisions more directly than ranking metrics, and that explanation plots are diagnostic rather than causal. The report therefore positions the system as review support, not as a production credit denial engine.</w:t>
      </w:r>
    </w:p>
    <w:p>
      <w:pPr>
        <w:pStyle w:val="PARA"/>
      </w:pPr>
      <w:r>
        <w:rPr>
          <w:b/>
        </w:rPr>
        <w:t>Main contributions.</w:t>
      </w:r>
      <w:r>
        <w:t xml:space="preserve"> The main contributions of this report are: 1) a validation-locked credit-risk screening protocol that separates model and policy selection from held-out evidence; 2) a manual-review decision workflow that reduces false-positive pressure compared with aggressive thresholding; 3) a reliability-aware SCRE framework for combining discrimination, calibration, cost, stability, faithfulness, and review-prioritization evidence; and 4) a weakness-closing analysis showing that recall-constrained, capacity-aware, specificity-focused, and proxy-cost alternatives improve selected weaknesses but do not replace the audit-ready final revised policies.</w:t>
      </w:r>
    </w:p>
    <w:p w14:paraId="78067002" w14:textId="77777777" w:rsidR="005C7A72" w:rsidRDefault="009A2A24">
      <w:pPr>
        <w:pStyle w:val="H1ListSpace"/>
      </w:pPr>
      <w:r>
        <w:t>RELATED WORK AND PROJECT SCOPE</w:t>
      </w:r>
    </w:p>
    <w:p w14:paraId="2A03FE94" w14:textId="77777777" w:rsidR="005C7A72" w:rsidRDefault="009A2A24">
      <w:pPr>
        <w:pStyle w:val="PARA"/>
      </w:pPr>
      <w:r>
        <w:t xml:space="preserve">Credit scoring has long balanced predictive accuracy with interpretability and governance. The Taiwan dataset remains a common benchmark because it includes repayment status, </w:t>
      </w:r>
      <w:r>
        <w:lastRenderedPageBreak/>
        <w:t>bills, payments, credit limit, and demographic fields [1], [2]. The HELOC challenge dataset is useful because it was released around an explainable financial decision problem [3], [4]. Together, they support a primary-development and external-validation design.</w:t>
      </w:r>
    </w:p>
    <w:p w14:paraId="764A455C" w14:textId="77777777" w:rsidR="005C7A72" w:rsidRDefault="009A2A24">
      <w:pPr>
        <w:pStyle w:val="PARA"/>
      </w:pPr>
      <w:r>
        <w:t>The model pool covers both standard and high-performing tabular methods. Scikit-learn estimators supply transparent baselines [5]. XGBoost [6], LightGBM [7], and CatBoost [8] represent modern gradient-boosted tree methods. Scorecard-style logistic regression is retained because transparent scorecards are still common where governance and manual review matter. The project also includes monotonic variants and interpretable middle models to test whether operational clarity can be improved without losing too mu</w:t>
      </w:r>
      <w:r>
        <w:t>ch predictive strength.</w:t>
      </w:r>
    </w:p>
    <w:p w14:paraId="1A53D335" w14:textId="77777777" w:rsidR="005C7A72" w:rsidRDefault="009A2A24">
      <w:pPr>
        <w:pStyle w:val="PARA"/>
      </w:pPr>
      <w:r>
        <w:t>Class imbalance is handled cautiously. SMOTE-style methods can be useful for minority-class learning [9], and imbalanced-learn provides practical implementations [10]. In this project, resampling is kept inside training folds or training pipelines; validation and test distributions remain natural. This prevents inflated results caused by applying synthetic sampling before splitting or evaluating on altered distributions.</w:t>
      </w:r>
    </w:p>
    <w:p w14:paraId="1CDA6A9A" w14:textId="77777777" w:rsidR="005C7A72" w:rsidRDefault="009A2A24">
      <w:pPr>
        <w:pStyle w:val="PARA"/>
      </w:pPr>
      <w:r>
        <w:t>Probability calibration and explanation diagnostics are also central. Calibration is evaluated because manual-review thresholds depend on probability scale, not only ranking [11]. SHAP [12] and LIME [13] are used for local and global explanation checks, while decision-curve analysis [14] is treated as decision-support evidence rather than as a replacement for cost-sensitive validation.</w:t>
      </w:r>
    </w:p>
    <w:p>
      <w:pPr>
        <w:pStyle w:val="PARA"/>
      </w:pPr>
      <w:r>
        <w:t>Table I positions the project against the closest empirical credit-default literature. The comparison is used for scope control: external papers motivate stress tests and diagnostics, but final project claims remain tied to the validation-locked evidence in this repository.</w:t>
      </w:r>
    </w:p>
    <w:p>
      <w:pPr>
        <w:pStyle w:val="TableTitle"/>
      </w:pPr>
      <w:r>
        <w:t>TABLE I</w:t>
      </w:r>
    </w:p>
    <w:p>
      <w:pPr>
        <w:pStyle w:val="TableTitle"/>
      </w:pPr>
      <w:r>
        <w:t>EMPIRICAL CREDIT-DEFAULT LITERATURE POSITIONING</w:t>
      </w:r>
    </w:p>
    <w:tbl>
      <w:tblPr>
        <w:tblW w:type="auto" w:w="0"/>
        <w:jc w:val="center"/>
        <w:tblLayout w:type="autofit"/>
        <w:tblLook w:firstColumn="1" w:firstRow="1" w:lastColumn="0" w:lastRow="0" w:noHBand="0" w:noVBand="1" w:val="04A0"/>
      </w:tblPr>
      <w:tblGrid>
        <w:gridCol w:w="3347"/>
        <w:gridCol w:w="3347"/>
        <w:gridCol w:w="3347"/>
      </w:tblGrid>
      <w:tr>
        <w:tc>
          <w:tcPr>
            <w:tcW w:type="dxa" w:w="3347"/>
            <w:vAlign w:val="top"/>
          </w:tcPr>
          <w:p>
            <w:pPr>
              <w:spacing w:before="0" w:after="0"/>
            </w:pPr>
            <w:r>
              <w:rPr>
                <w:sz w:val="12"/>
              </w:rPr>
            </w:r>
            <w:r>
              <w:rPr>
                <w:b/>
                <w:sz w:val="12"/>
              </w:rPr>
              <w:t>Study / Theme</w:t>
            </w:r>
          </w:p>
        </w:tc>
        <w:tc>
          <w:tcPr>
            <w:tcW w:type="dxa" w:w="3347"/>
            <w:vAlign w:val="top"/>
          </w:tcPr>
          <w:p>
            <w:pPr>
              <w:spacing w:before="0" w:after="0"/>
            </w:pPr>
            <w:r>
              <w:rPr>
                <w:sz w:val="12"/>
              </w:rPr>
            </w:r>
            <w:r>
              <w:rPr>
                <w:b/>
                <w:sz w:val="12"/>
              </w:rPr>
              <w:t>Why it matters</w:t>
            </w:r>
          </w:p>
        </w:tc>
        <w:tc>
          <w:tcPr>
            <w:tcW w:type="dxa" w:w="3347"/>
            <w:vAlign w:val="top"/>
          </w:tcPr>
          <w:p>
            <w:pPr>
              <w:spacing w:before="0" w:after="0"/>
            </w:pPr>
            <w:r>
              <w:rPr>
                <w:sz w:val="12"/>
              </w:rPr>
            </w:r>
            <w:r>
              <w:rPr>
                <w:b/>
                <w:sz w:val="12"/>
              </w:rPr>
              <w:t>Position in this report</w:t>
            </w:r>
          </w:p>
        </w:tc>
      </w:tr>
      <w:tr>
        <w:tc>
          <w:tcPr>
            <w:tcW w:type="dxa" w:w="3347"/>
            <w:vAlign w:val="top"/>
          </w:tcPr>
          <w:p>
            <w:pPr>
              <w:spacing w:before="0" w:after="0"/>
            </w:pPr>
            <w:r>
              <w:rPr>
                <w:sz w:val="12"/>
              </w:rPr>
            </w:r>
            <w:r>
              <w:rPr>
                <w:b w:val="0"/>
                <w:sz w:val="12"/>
              </w:rPr>
              <w:t>Yeh and Lien [2]</w:t>
            </w:r>
          </w:p>
        </w:tc>
        <w:tc>
          <w:tcPr>
            <w:tcW w:type="dxa" w:w="3347"/>
            <w:vAlign w:val="top"/>
          </w:tcPr>
          <w:p>
            <w:pPr>
              <w:spacing w:before="0" w:after="0"/>
            </w:pPr>
            <w:r>
              <w:rPr>
                <w:sz w:val="12"/>
              </w:rPr>
            </w:r>
            <w:r>
              <w:rPr>
                <w:b w:val="0"/>
                <w:sz w:val="12"/>
              </w:rPr>
              <w:t>Defines the Taiwan probability-of-default benchmark.</w:t>
            </w:r>
          </w:p>
        </w:tc>
        <w:tc>
          <w:tcPr>
            <w:tcW w:type="dxa" w:w="3347"/>
            <w:vAlign w:val="top"/>
          </w:tcPr>
          <w:p>
            <w:pPr>
              <w:spacing w:before="0" w:after="0"/>
            </w:pPr>
            <w:r>
              <w:rPr>
                <w:sz w:val="12"/>
              </w:rPr>
            </w:r>
            <w:r>
              <w:rPr>
                <w:b w:val="0"/>
                <w:sz w:val="12"/>
              </w:rPr>
              <w:t>Primary dataset foundation and screening task.</w:t>
            </w:r>
          </w:p>
        </w:tc>
      </w:tr>
      <w:tr>
        <w:tc>
          <w:tcPr>
            <w:tcW w:type="dxa" w:w="3347"/>
            <w:vAlign w:val="top"/>
          </w:tcPr>
          <w:p>
            <w:pPr>
              <w:spacing w:before="0" w:after="0"/>
            </w:pPr>
            <w:r>
              <w:rPr>
                <w:sz w:val="12"/>
              </w:rPr>
            </w:r>
            <w:r>
              <w:rPr>
                <w:b w:val="0"/>
                <w:sz w:val="12"/>
              </w:rPr>
              <w:t>Alam et al. [15]</w:t>
            </w:r>
          </w:p>
        </w:tc>
        <w:tc>
          <w:tcPr>
            <w:tcW w:type="dxa" w:w="3347"/>
            <w:vAlign w:val="top"/>
          </w:tcPr>
          <w:p>
            <w:pPr>
              <w:spacing w:before="0" w:after="0"/>
            </w:pPr>
            <w:r>
              <w:rPr>
                <w:sz w:val="12"/>
              </w:rPr>
            </w:r>
            <w:r>
              <w:rPr>
                <w:b w:val="0"/>
                <w:sz w:val="12"/>
              </w:rPr>
              <w:t>Motivates imbalance handling and GBDT/SMOTE-style reproduction.</w:t>
            </w:r>
          </w:p>
        </w:tc>
        <w:tc>
          <w:tcPr>
            <w:tcW w:type="dxa" w:w="3347"/>
            <w:vAlign w:val="top"/>
          </w:tcPr>
          <w:p>
            <w:pPr>
              <w:spacing w:before="0" w:after="0"/>
            </w:pPr>
            <w:r>
              <w:rPr>
                <w:sz w:val="12"/>
              </w:rPr>
            </w:r>
            <w:r>
              <w:rPr>
                <w:b w:val="0"/>
                <w:sz w:val="12"/>
              </w:rPr>
              <w:t>Leakage-free reproduction did not replace the final revised V2 policy.</w:t>
            </w:r>
          </w:p>
        </w:tc>
      </w:tr>
      <w:tr>
        <w:tc>
          <w:tcPr>
            <w:tcW w:type="dxa" w:w="3347"/>
            <w:vAlign w:val="top"/>
          </w:tcPr>
          <w:p>
            <w:pPr>
              <w:spacing w:before="0" w:after="0"/>
            </w:pPr>
            <w:r>
              <w:rPr>
                <w:sz w:val="12"/>
              </w:rPr>
            </w:r>
            <w:r>
              <w:rPr>
                <w:b w:val="0"/>
                <w:sz w:val="12"/>
              </w:rPr>
              <w:t>Chen and Zhang [16]</w:t>
            </w:r>
          </w:p>
        </w:tc>
        <w:tc>
          <w:tcPr>
            <w:tcW w:type="dxa" w:w="3347"/>
            <w:vAlign w:val="top"/>
          </w:tcPr>
          <w:p>
            <w:pPr>
              <w:spacing w:before="0" w:after="0"/>
            </w:pPr>
            <w:r>
              <w:rPr>
                <w:sz w:val="12"/>
              </w:rPr>
            </w:r>
            <w:r>
              <w:rPr>
                <w:b w:val="0"/>
                <w:sz w:val="12"/>
              </w:rPr>
              <w:t>Motivates KMeansSMOTE and BP/MLP stress testing.</w:t>
            </w:r>
          </w:p>
        </w:tc>
        <w:tc>
          <w:tcPr>
            <w:tcW w:type="dxa" w:w="3347"/>
            <w:vAlign w:val="top"/>
          </w:tcPr>
          <w:p>
            <w:pPr>
              <w:spacing w:before="0" w:after="0"/>
            </w:pPr>
            <w:r>
              <w:rPr>
                <w:sz w:val="12"/>
              </w:rPr>
            </w:r>
            <w:r>
              <w:rPr>
                <w:b w:val="0"/>
                <w:sz w:val="12"/>
              </w:rPr>
              <w:t>Deep/resampling attempts did not become the safest operational policy.</w:t>
            </w:r>
          </w:p>
        </w:tc>
      </w:tr>
      <w:tr>
        <w:tc>
          <w:tcPr>
            <w:tcW w:type="dxa" w:w="3347"/>
            <w:vAlign w:val="top"/>
          </w:tcPr>
          <w:p>
            <w:pPr>
              <w:spacing w:before="0" w:after="0"/>
            </w:pPr>
            <w:r>
              <w:rPr>
                <w:sz w:val="12"/>
              </w:rPr>
            </w:r>
            <w:r>
              <w:rPr>
                <w:b w:val="0"/>
                <w:sz w:val="12"/>
              </w:rPr>
              <w:t>Talaat et al. [17]</w:t>
            </w:r>
          </w:p>
        </w:tc>
        <w:tc>
          <w:tcPr>
            <w:tcW w:type="dxa" w:w="3347"/>
            <w:vAlign w:val="top"/>
          </w:tcPr>
          <w:p>
            <w:pPr>
              <w:spacing w:before="0" w:after="0"/>
            </w:pPr>
            <w:r>
              <w:rPr>
                <w:sz w:val="12"/>
              </w:rPr>
            </w:r>
            <w:r>
              <w:rPr>
                <w:b w:val="0"/>
                <w:sz w:val="12"/>
              </w:rPr>
              <w:t>Motivates XAI and deep-learning comparison.</w:t>
            </w:r>
          </w:p>
        </w:tc>
        <w:tc>
          <w:tcPr>
            <w:tcW w:type="dxa" w:w="3347"/>
            <w:vAlign w:val="top"/>
          </w:tcPr>
          <w:p>
            <w:pPr>
              <w:spacing w:before="0" w:after="0"/>
            </w:pPr>
            <w:r>
              <w:rPr>
                <w:sz w:val="12"/>
              </w:rPr>
            </w:r>
            <w:r>
              <w:rPr>
                <w:b w:val="0"/>
                <w:sz w:val="12"/>
              </w:rPr>
              <w:t>XAI remains diagnostic; automatic-decision claims are avoided.</w:t>
            </w:r>
          </w:p>
        </w:tc>
      </w:tr>
      <w:tr>
        <w:tc>
          <w:tcPr>
            <w:tcW w:type="dxa" w:w="3347"/>
            <w:vAlign w:val="top"/>
          </w:tcPr>
          <w:p>
            <w:pPr>
              <w:spacing w:before="0" w:after="0"/>
            </w:pPr>
            <w:r>
              <w:rPr>
                <w:sz w:val="12"/>
              </w:rPr>
            </w:r>
            <w:r>
              <w:rPr>
                <w:b w:val="0"/>
                <w:sz w:val="12"/>
              </w:rPr>
              <w:t>Bhandary and Ghosh [18]; Lin and Wang [19]</w:t>
            </w:r>
          </w:p>
        </w:tc>
        <w:tc>
          <w:tcPr>
            <w:tcW w:type="dxa" w:w="3347"/>
            <w:vAlign w:val="top"/>
          </w:tcPr>
          <w:p>
            <w:pPr>
              <w:spacing w:before="0" w:after="0"/>
            </w:pPr>
            <w:r>
              <w:rPr>
                <w:sz w:val="12"/>
              </w:rPr>
            </w:r>
            <w:r>
              <w:rPr>
                <w:b w:val="0"/>
                <w:sz w:val="12"/>
              </w:rPr>
              <w:t>Motivates DNN benchmarking and SHAP/explanation stability.</w:t>
            </w:r>
          </w:p>
        </w:tc>
        <w:tc>
          <w:tcPr>
            <w:tcW w:type="dxa" w:w="3347"/>
            <w:vAlign w:val="top"/>
          </w:tcPr>
          <w:p>
            <w:pPr>
              <w:spacing w:before="0" w:after="0"/>
            </w:pPr>
            <w:r>
              <w:rPr>
                <w:sz w:val="12"/>
              </w:rPr>
            </w:r>
            <w:r>
              <w:rPr>
                <w:b w:val="0"/>
                <w:sz w:val="12"/>
              </w:rPr>
              <w:t>Stability and XAI support diagnostics; final decisions remain validation-locked and manual-review based.</w:t>
            </w:r>
          </w:p>
        </w:tc>
      </w:tr>
    </w:tbl>
    <w:p w14:paraId="02386154" w14:textId="77777777" w:rsidR="005C7A72" w:rsidRDefault="009A2A24">
      <w:pPr>
        <w:pStyle w:val="H1ListSpace"/>
      </w:pPr>
      <w:r>
        <w:t>DATA AND REPRODUCIBLE PIPELINE</w:t>
      </w:r>
    </w:p>
    <w:p w14:paraId="47FA7CA7" w14:textId="77777777" w:rsidR="005C7A72" w:rsidRDefault="009A2A24">
      <w:pPr>
        <w:pStyle w:val="PARA"/>
        <w:keepNext/>
        <w:spacing w:before="60"/>
      </w:pPr>
      <w:r>
        <w:t>A. Implementation and reproducibility</w:t>
      </w:r>
    </w:p>
    <w:p w14:paraId="6F8CE1CB" w14:textId="77777777" w:rsidR="005C7A72" w:rsidRDefault="009A2A24">
      <w:pPr>
        <w:pStyle w:val="PARA"/>
      </w:pPr>
      <w:r>
        <w:t>The implementation is organized in a reproducible repository structure. Repository: godsoftware/Data_Mining_Project. The repository contains raw inputs, reusable source modules, numbered experiment scripts, tests, generated tables, figures, model diagnostics, and audit artifacts.</w:t>
      </w:r>
    </w:p>
    <w:p w14:paraId="0ABF1266" w14:textId="77777777" w:rsidR="005C7A72" w:rsidRDefault="009A2A24">
      <w:pPr>
        <w:pStyle w:val="PARA"/>
      </w:pPr>
      <w:r>
        <w:t>Experiments are organized as a numbered sequence from experiment 00 through experiment 47. The intended execution order is the numeric experiment order, beginning with environment and split checks and ending with locked final evaluation and audit artifacts. Main final evidence folders are outputs/decision_revision_v2/, outputs/final_frozen_v2/, and outputs/final_weakness_closing/. Environment files are requirements.txt and environment.yml. Supporting tests cover leakage, metrics, preprocessing, calibration, thresholding, subgroup reliability, and phase-output checks.</w:t>
      </w:r>
    </w:p>
    <w:p w14:paraId="5F318B06" w14:textId="77777777" w:rsidR="005C7A72" w:rsidRDefault="009A2A24">
      <w:r>
        <w:br w:type="column"/>
      </w:r>
    </w:p>
    <w:p w14:paraId="0AAF5952" w14:textId="77777777" w:rsidR="005C7A72" w:rsidRDefault="009A2A24">
      <w:pPr>
        <w:pStyle w:val="PARA"/>
        <w:keepNext/>
        <w:spacing w:before="100"/>
      </w:pPr>
      <w:r>
        <w:rPr>
          <w:b/>
          <w:i/>
        </w:rPr>
        <w:t>B. Datasets and cleaning</w:t>
      </w:r>
    </w:p>
    <w:p w14:paraId="04026719" w14:textId="77777777" w:rsidR="005C7A72" w:rsidRDefault="009A2A24">
      <w:pPr>
        <w:pStyle w:val="TableTitle"/>
        <w:keepNext/>
      </w:pPr>
      <w:r>
        <w:t>TABLE II</w:t>
      </w:r>
    </w:p>
    <w:p w14:paraId="6B39E86C" w14:textId="77777777" w:rsidR="005C7A72" w:rsidRDefault="009A2A24">
      <w:pPr>
        <w:pStyle w:val="TableTitle"/>
        <w:keepNext/>
      </w:pPr>
      <w:r>
        <w:t>DATASETS AND EVALUATION ROLES</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1080"/>
        <w:gridCol w:w="1944"/>
        <w:gridCol w:w="1944"/>
      </w:tblGrid>
      <w:tr w:rsidR="005C7A72" w14:paraId="03771FD8" w14:textId="77777777">
        <w:trPr>
          <w:cantSplit/>
          <w:tblHeader/>
          <w:jc w:val="center"/>
        </w:trPr>
        <w:tc>
          <w:tcPr>
            <w:tcW w:w="1080" w:type="dxa"/>
            <w:shd w:val="clear" w:color="auto" w:fill="E9EEF7"/>
            <w:tcMar>
              <w:top w:w="48" w:type="dxa"/>
              <w:left w:w="48" w:type="dxa"/>
              <w:bottom w:w="48" w:type="dxa"/>
              <w:right w:w="48" w:type="dxa"/>
            </w:tcMar>
            <w:vAlign w:val="top"/>
          </w:tcPr>
          <w:p w14:paraId="279655DF" w14:textId="77777777" w:rsidR="005C7A72" w:rsidRDefault="009A2A24">
            <w:pPr>
              <w:spacing w:before="0" w:after="0"/>
            </w:pPr>
            <w:r>
              <w:rPr>
                <w:b/>
                <w:sz w:val="12"/>
              </w:rPr>
              <w:t>Dataset</w:t>
            </w:r>
          </w:p>
        </w:tc>
        <w:tc>
          <w:tcPr>
            <w:tcW w:w="1944" w:type="dxa"/>
            <w:shd w:val="clear" w:color="auto" w:fill="E9EEF7"/>
            <w:tcMar>
              <w:top w:w="48" w:type="dxa"/>
              <w:left w:w="48" w:type="dxa"/>
              <w:bottom w:w="48" w:type="dxa"/>
              <w:right w:w="48" w:type="dxa"/>
            </w:tcMar>
            <w:vAlign w:val="top"/>
          </w:tcPr>
          <w:p w14:paraId="4D690F5F" w14:textId="77777777" w:rsidR="005C7A72" w:rsidRDefault="009A2A24">
            <w:pPr>
              <w:spacing w:before="0" w:after="0"/>
            </w:pPr>
            <w:r>
              <w:rPr>
                <w:b/>
                <w:sz w:val="12"/>
              </w:rPr>
              <w:t>Cleaned profile</w:t>
            </w:r>
          </w:p>
        </w:tc>
        <w:tc>
          <w:tcPr>
            <w:tcW w:w="1944" w:type="dxa"/>
            <w:shd w:val="clear" w:color="auto" w:fill="E9EEF7"/>
            <w:tcMar>
              <w:top w:w="48" w:type="dxa"/>
              <w:left w:w="48" w:type="dxa"/>
              <w:bottom w:w="48" w:type="dxa"/>
              <w:right w:w="48" w:type="dxa"/>
            </w:tcMar>
            <w:vAlign w:val="top"/>
          </w:tcPr>
          <w:p w14:paraId="527F94AA" w14:textId="77777777" w:rsidR="005C7A72" w:rsidRDefault="009A2A24">
            <w:pPr>
              <w:spacing w:before="0" w:after="0"/>
            </w:pPr>
            <w:r>
              <w:rPr>
                <w:b/>
                <w:sz w:val="12"/>
              </w:rPr>
              <w:t>Role in report</w:t>
            </w:r>
          </w:p>
        </w:tc>
      </w:tr>
      <w:tr w:rsidR="005C7A72" w14:paraId="4FC9AC59" w14:textId="77777777">
        <w:trPr>
          <w:cantSplit/>
          <w:jc w:val="center"/>
        </w:trPr>
        <w:tc>
          <w:tcPr>
            <w:tcW w:w="1080" w:type="dxa"/>
            <w:tcMar>
              <w:top w:w="48" w:type="dxa"/>
              <w:left w:w="48" w:type="dxa"/>
              <w:bottom w:w="48" w:type="dxa"/>
              <w:right w:w="48" w:type="dxa"/>
            </w:tcMar>
            <w:vAlign w:val="top"/>
          </w:tcPr>
          <w:p w14:paraId="0C0D4C08" w14:textId="77777777" w:rsidR="005C7A72" w:rsidRDefault="009A2A24">
            <w:pPr>
              <w:spacing w:before="0" w:after="0"/>
            </w:pPr>
            <w:r>
              <w:rPr>
                <w:sz w:val="12"/>
              </w:rPr>
              <w:t>Taiwan credit-card default</w:t>
            </w:r>
          </w:p>
        </w:tc>
        <w:tc>
          <w:tcPr>
            <w:tcW w:w="1944" w:type="dxa"/>
            <w:tcMar>
              <w:top w:w="48" w:type="dxa"/>
              <w:left w:w="48" w:type="dxa"/>
              <w:bottom w:w="48" w:type="dxa"/>
              <w:right w:w="48" w:type="dxa"/>
            </w:tcMar>
            <w:vAlign w:val="top"/>
          </w:tcPr>
          <w:p w14:paraId="752A88F9" w14:textId="77777777" w:rsidR="005C7A72" w:rsidRDefault="009A2A24">
            <w:pPr>
              <w:spacing w:before="0" w:after="0"/>
            </w:pPr>
            <w:r>
              <w:rPr>
                <w:sz w:val="12"/>
              </w:rPr>
              <w:t>30,000 rows; 6,636 defaults; 23,364 non-defaults; no missing values after cleaning.</w:t>
            </w:r>
          </w:p>
        </w:tc>
        <w:tc>
          <w:tcPr>
            <w:tcW w:w="1944" w:type="dxa"/>
            <w:tcMar>
              <w:top w:w="48" w:type="dxa"/>
              <w:left w:w="48" w:type="dxa"/>
              <w:bottom w:w="48" w:type="dxa"/>
              <w:right w:w="48" w:type="dxa"/>
            </w:tcMar>
            <w:vAlign w:val="top"/>
          </w:tcPr>
          <w:p w14:paraId="7BD5AFE4" w14:textId="77777777" w:rsidR="005C7A72" w:rsidRDefault="009A2A24">
            <w:pPr>
              <w:spacing w:before="0" w:after="0"/>
            </w:pPr>
            <w:r>
              <w:rPr>
                <w:sz w:val="12"/>
              </w:rPr>
              <w:t xml:space="preserve">Primary development </w:t>
            </w:r>
            <w:r>
              <w:rPr>
                <w:sz w:val="12"/>
              </w:rPr>
              <w:t>setting. ID leakage removed; anomalous education/marriage codes merged into Other categories.</w:t>
            </w:r>
          </w:p>
        </w:tc>
      </w:tr>
      <w:tr w:rsidR="005C7A72" w14:paraId="5B837059" w14:textId="77777777">
        <w:trPr>
          <w:cantSplit/>
          <w:jc w:val="center"/>
        </w:trPr>
        <w:tc>
          <w:tcPr>
            <w:tcW w:w="1080" w:type="dxa"/>
            <w:tcMar>
              <w:top w:w="48" w:type="dxa"/>
              <w:left w:w="48" w:type="dxa"/>
              <w:bottom w:w="48" w:type="dxa"/>
              <w:right w:w="48" w:type="dxa"/>
            </w:tcMar>
            <w:vAlign w:val="top"/>
          </w:tcPr>
          <w:p w14:paraId="06E5A92D" w14:textId="77777777" w:rsidR="005C7A72" w:rsidRDefault="009A2A24">
            <w:pPr>
              <w:spacing w:before="0" w:after="0"/>
            </w:pPr>
            <w:r>
              <w:rPr>
                <w:sz w:val="12"/>
              </w:rPr>
              <w:t>FICO HELOC</w:t>
            </w:r>
          </w:p>
        </w:tc>
        <w:tc>
          <w:tcPr>
            <w:tcW w:w="1944" w:type="dxa"/>
            <w:tcMar>
              <w:top w:w="48" w:type="dxa"/>
              <w:left w:w="48" w:type="dxa"/>
              <w:bottom w:w="48" w:type="dxa"/>
              <w:right w:w="48" w:type="dxa"/>
            </w:tcMar>
            <w:vAlign w:val="top"/>
          </w:tcPr>
          <w:p w14:paraId="3397EAD5" w14:textId="77777777" w:rsidR="005C7A72" w:rsidRDefault="009A2A24">
            <w:pPr>
              <w:spacing w:before="0" w:after="0"/>
            </w:pPr>
            <w:r>
              <w:rPr>
                <w:sz w:val="12"/>
              </w:rPr>
              <w:t>9,871 rows; 5,136 bad cases; 4,735 good cases; special missing values handled.</w:t>
            </w:r>
          </w:p>
        </w:tc>
        <w:tc>
          <w:tcPr>
            <w:tcW w:w="1944" w:type="dxa"/>
            <w:tcMar>
              <w:top w:w="48" w:type="dxa"/>
              <w:left w:w="48" w:type="dxa"/>
              <w:bottom w:w="48" w:type="dxa"/>
              <w:right w:w="48" w:type="dxa"/>
            </w:tcMar>
            <w:vAlign w:val="top"/>
          </w:tcPr>
          <w:p w14:paraId="6618ABCB" w14:textId="77777777" w:rsidR="005C7A72" w:rsidRDefault="009A2A24">
            <w:pPr>
              <w:spacing w:before="0" w:after="0"/>
            </w:pPr>
            <w:r>
              <w:rPr>
                <w:sz w:val="12"/>
              </w:rPr>
              <w:t xml:space="preserve">External validation setting. Different schema, so it tests </w:t>
            </w:r>
            <w:r>
              <w:rPr>
                <w:sz w:val="12"/>
              </w:rPr>
              <w:t>framework portability rather than direct feature transfer.</w:t>
            </w:r>
          </w:p>
        </w:tc>
      </w:tr>
    </w:tbl>
    <w:p>
      <w:pPr>
        <w:pStyle w:val="PARA"/>
      </w:pPr>
      <w:r>
        <w:t>Taiwan and HELOC were modeled separately. Taiwan was used as the primary development setting, whereas HELOC was used to test whether the evaluation framework and manual-review logic remained meaningful under a different credit-risk schema. No Taiwan-trained feature vector was directly transferred to HELOC, and no HELOC feature was forced to imitate a Taiwan column. The comparison is therefore a framework-portability check rather than a direct cross-dataset feature-matching experiment.</w:t>
      </w:r>
    </w:p>
    <w:p>
      <w:pPr>
        <w:pStyle w:val="PARA"/>
      </w:pPr>
      <w:r>
        <w:t>The two datasets were not merged and no row-level or feature-level transfer was performed. Because Taiwan and HELOC have different schemas, the mapping below is conceptual. It explains which feature groups play similar credit-risk roles, not a one-to-one column transformation.</w:t>
      </w:r>
    </w:p>
    <w:p>
      <w:pPr>
        <w:pStyle w:val="TableTitle"/>
      </w:pPr>
      <w:r>
        <w:t>TABLE III</w:t>
      </w:r>
    </w:p>
    <w:p>
      <w:pPr>
        <w:pStyle w:val="TableTitle"/>
      </w:pPr>
      <w:r>
        <w:t>CONCEPTUAL FEATURE-GROUP MAPPING BETWEEN TAIWAN AND HELOC</w:t>
      </w:r>
    </w:p>
    <w:tbl>
      <w:tblPr>
        <w:tblW w:type="auto" w:w="0"/>
        <w:jc w:val="center"/>
        <w:tblLayout w:type="autofit"/>
        <w:tblLook w:firstColumn="1" w:firstRow="1" w:lastColumn="0" w:lastRow="0" w:noHBand="0" w:noVBand="1" w:val="04A0"/>
      </w:tblPr>
      <w:tblGrid>
        <w:gridCol w:w="3347"/>
        <w:gridCol w:w="3347"/>
        <w:gridCol w:w="3347"/>
      </w:tblGrid>
      <w:tr>
        <w:tc>
          <w:tcPr>
            <w:tcW w:type="dxa" w:w="3347"/>
            <w:vAlign w:val="top"/>
          </w:tcPr>
          <w:p>
            <w:pPr>
              <w:spacing w:before="0" w:after="0"/>
            </w:pPr>
            <w:r>
              <w:rPr>
                <w:sz w:val="12"/>
              </w:rPr>
            </w:r>
            <w:r>
              <w:rPr>
                <w:b/>
                <w:sz w:val="12"/>
              </w:rPr>
              <w:t>Credit-risk concept</w:t>
            </w:r>
          </w:p>
        </w:tc>
        <w:tc>
          <w:tcPr>
            <w:tcW w:type="dxa" w:w="3347"/>
            <w:vAlign w:val="top"/>
          </w:tcPr>
          <w:p>
            <w:pPr>
              <w:spacing w:before="0" w:after="0"/>
            </w:pPr>
            <w:r>
              <w:rPr>
                <w:sz w:val="12"/>
              </w:rPr>
            </w:r>
            <w:r>
              <w:rPr>
                <w:b/>
                <w:sz w:val="12"/>
              </w:rPr>
              <w:t>Taiwan columns/features</w:t>
            </w:r>
          </w:p>
        </w:tc>
        <w:tc>
          <w:tcPr>
            <w:tcW w:type="dxa" w:w="3347"/>
            <w:vAlign w:val="top"/>
          </w:tcPr>
          <w:p>
            <w:pPr>
              <w:spacing w:before="0" w:after="0"/>
            </w:pPr>
            <w:r>
              <w:rPr>
                <w:sz w:val="12"/>
              </w:rPr>
            </w:r>
            <w:r>
              <w:rPr>
                <w:b/>
                <w:sz w:val="12"/>
              </w:rPr>
              <w:t>HELOC columns/features and note</w:t>
            </w:r>
          </w:p>
        </w:tc>
      </w:tr>
      <w:tr>
        <w:tc>
          <w:tcPr>
            <w:tcW w:type="dxa" w:w="3347"/>
            <w:vAlign w:val="top"/>
          </w:tcPr>
          <w:p>
            <w:pPr>
              <w:spacing w:before="0" w:after="0"/>
            </w:pPr>
            <w:r>
              <w:rPr>
                <w:sz w:val="12"/>
              </w:rPr>
            </w:r>
            <w:r>
              <w:rPr>
                <w:b w:val="0"/>
                <w:sz w:val="12"/>
              </w:rPr>
              <w:t>Target / outcome</w:t>
            </w:r>
          </w:p>
        </w:tc>
        <w:tc>
          <w:tcPr>
            <w:tcW w:type="dxa" w:w="3347"/>
            <w:vAlign w:val="top"/>
          </w:tcPr>
          <w:p>
            <w:pPr>
              <w:spacing w:before="0" w:after="0"/>
            </w:pPr>
            <w:r>
              <w:rPr>
                <w:sz w:val="12"/>
              </w:rPr>
            </w:r>
            <w:r>
              <w:rPr>
                <w:b w:val="0"/>
                <w:sz w:val="12"/>
              </w:rPr>
              <w:t>default payment next month / default_next_month</w:t>
            </w:r>
          </w:p>
        </w:tc>
        <w:tc>
          <w:tcPr>
            <w:tcW w:type="dxa" w:w="3347"/>
            <w:vAlign w:val="top"/>
          </w:tcPr>
          <w:p>
            <w:pPr>
              <w:spacing w:before="0" w:after="0"/>
            </w:pPr>
            <w:r>
              <w:rPr>
                <w:sz w:val="12"/>
              </w:rPr>
            </w:r>
            <w:r>
              <w:rPr>
                <w:b w:val="0"/>
                <w:sz w:val="12"/>
              </w:rPr>
              <w:t>RiskPerformance / bad_flag. Binary outcome; Taiwan primary, HELOC portability check.</w:t>
            </w:r>
          </w:p>
        </w:tc>
      </w:tr>
      <w:tr>
        <w:tc>
          <w:tcPr>
            <w:tcW w:type="dxa" w:w="3347"/>
            <w:vAlign w:val="top"/>
          </w:tcPr>
          <w:p>
            <w:pPr>
              <w:spacing w:before="0" w:after="0"/>
            </w:pPr>
            <w:r>
              <w:rPr>
                <w:sz w:val="12"/>
              </w:rPr>
            </w:r>
            <w:r>
              <w:rPr>
                <w:b w:val="0"/>
                <w:sz w:val="12"/>
              </w:rPr>
              <w:t>Delinquency / repayment behavior</w:t>
            </w:r>
          </w:p>
        </w:tc>
        <w:tc>
          <w:tcPr>
            <w:tcW w:type="dxa" w:w="3347"/>
            <w:vAlign w:val="top"/>
          </w:tcPr>
          <w:p>
            <w:pPr>
              <w:spacing w:before="0" w:after="0"/>
            </w:pPr>
            <w:r>
              <w:rPr>
                <w:sz w:val="12"/>
              </w:rPr>
            </w:r>
            <w:r>
              <w:rPr>
                <w:b w:val="0"/>
                <w:sz w:val="12"/>
              </w:rPr>
              <w:t>PAY_0, PAY_2, PAY_3, PAY_4, PAY_5, PAY_6; delay_count; max_delay; avg_delay; recent_delay</w:t>
            </w:r>
          </w:p>
        </w:tc>
        <w:tc>
          <w:tcPr>
            <w:tcW w:type="dxa" w:w="3347"/>
            <w:vAlign w:val="top"/>
          </w:tcPr>
          <w:p>
            <w:pPr>
              <w:spacing w:before="0" w:after="0"/>
            </w:pPr>
            <w:r>
              <w:rPr>
                <w:sz w:val="12"/>
              </w:rPr>
            </w:r>
            <w:r>
              <w:rPr>
                <w:b w:val="0"/>
                <w:sz w:val="12"/>
              </w:rPr>
              <w:t>PercentTradesNeverDelq; NumTrades60Ever2DerogPubRec; NumTrades90Ever2DerogPubRec; MSinceMostRecentDelq; MaxDelqEver; MaxDelq2PublicRecLast12M. Conceptual match only.</w:t>
            </w:r>
          </w:p>
        </w:tc>
      </w:tr>
      <w:tr>
        <w:tc>
          <w:tcPr>
            <w:tcW w:type="dxa" w:w="3347"/>
            <w:vAlign w:val="top"/>
          </w:tcPr>
          <w:p>
            <w:pPr>
              <w:spacing w:before="0" w:after="0"/>
            </w:pPr>
            <w:r>
              <w:rPr>
                <w:sz w:val="12"/>
              </w:rPr>
            </w:r>
            <w:r>
              <w:rPr>
                <w:b w:val="0"/>
                <w:sz w:val="12"/>
              </w:rPr>
              <w:t>Utilization / debt burden</w:t>
            </w:r>
          </w:p>
        </w:tc>
        <w:tc>
          <w:tcPr>
            <w:tcW w:type="dxa" w:w="3347"/>
            <w:vAlign w:val="top"/>
          </w:tcPr>
          <w:p>
            <w:pPr>
              <w:spacing w:before="0" w:after="0"/>
            </w:pPr>
            <w:r>
              <w:rPr>
                <w:sz w:val="12"/>
              </w:rPr>
            </w:r>
            <w:r>
              <w:rPr>
                <w:b w:val="0"/>
                <w:sz w:val="12"/>
              </w:rPr>
              <w:t>LIMIT_BAL; BILL_AMT1-BILL_AMT6; utilization_proxy; total_bill; avg_bill</w:t>
            </w:r>
          </w:p>
        </w:tc>
        <w:tc>
          <w:tcPr>
            <w:tcW w:type="dxa" w:w="3347"/>
            <w:vAlign w:val="top"/>
          </w:tcPr>
          <w:p>
            <w:pPr>
              <w:spacing w:before="0" w:after="0"/>
            </w:pPr>
            <w:r>
              <w:rPr>
                <w:sz w:val="12"/>
              </w:rPr>
            </w:r>
            <w:r>
              <w:rPr>
                <w:b w:val="0"/>
                <w:sz w:val="12"/>
              </w:rPr>
              <w:t>NetFractionRevolvingBurden; NetFractionInstallBurden; PercentTradesWBalance; NumBank2NatlTradesWHighUtilization. Conceptual burden/utilization match.</w:t>
            </w:r>
          </w:p>
        </w:tc>
      </w:tr>
      <w:tr>
        <w:tc>
          <w:tcPr>
            <w:tcW w:type="dxa" w:w="3347"/>
            <w:vAlign w:val="top"/>
          </w:tcPr>
          <w:p>
            <w:pPr>
              <w:spacing w:before="0" w:after="0"/>
            </w:pPr>
            <w:r>
              <w:rPr>
                <w:sz w:val="12"/>
              </w:rPr>
            </w:r>
            <w:r>
              <w:rPr>
                <w:b w:val="0"/>
                <w:sz w:val="12"/>
              </w:rPr>
              <w:t>Payment / balance management</w:t>
            </w:r>
          </w:p>
        </w:tc>
        <w:tc>
          <w:tcPr>
            <w:tcW w:type="dxa" w:w="3347"/>
            <w:vAlign w:val="top"/>
          </w:tcPr>
          <w:p>
            <w:pPr>
              <w:spacing w:before="0" w:after="0"/>
            </w:pPr>
            <w:r>
              <w:rPr>
                <w:sz w:val="12"/>
              </w:rPr>
            </w:r>
            <w:r>
              <w:rPr>
                <w:b w:val="0"/>
                <w:sz w:val="12"/>
              </w:rPr>
              <w:t>PAY_AMT1-PAY_AMT6; total_payment; avg_payment; payment_to_bill_ratio</w:t>
            </w:r>
          </w:p>
        </w:tc>
        <w:tc>
          <w:tcPr>
            <w:tcW w:type="dxa" w:w="3347"/>
            <w:vAlign w:val="top"/>
          </w:tcPr>
          <w:p>
            <w:pPr>
              <w:spacing w:before="0" w:after="0"/>
            </w:pPr>
            <w:r>
              <w:rPr>
                <w:sz w:val="12"/>
              </w:rPr>
            </w:r>
            <w:r>
              <w:rPr>
                <w:b w:val="0"/>
                <w:sz w:val="12"/>
              </w:rPr>
              <w:t>NumRevolvingTradesWBalance; NumInstallTradesWBalance; PercentTradesWBalance. Partial conceptual match; HELOC is trade/balance-status based.</w:t>
            </w:r>
          </w:p>
        </w:tc>
      </w:tr>
      <w:tr>
        <w:tc>
          <w:tcPr>
            <w:tcW w:type="dxa" w:w="3347"/>
            <w:vAlign w:val="top"/>
          </w:tcPr>
          <w:p>
            <w:pPr>
              <w:spacing w:before="0" w:after="0"/>
            </w:pPr>
            <w:r>
              <w:rPr>
                <w:sz w:val="12"/>
              </w:rPr>
            </w:r>
            <w:r>
              <w:rPr>
                <w:b w:val="0"/>
                <w:sz w:val="12"/>
              </w:rPr>
              <w:t>Credit history age / maturity</w:t>
            </w:r>
          </w:p>
        </w:tc>
        <w:tc>
          <w:tcPr>
            <w:tcW w:type="dxa" w:w="3347"/>
            <w:vAlign w:val="top"/>
          </w:tcPr>
          <w:p>
            <w:pPr>
              <w:spacing w:before="0" w:after="0"/>
            </w:pPr>
            <w:r>
              <w:rPr>
                <w:sz w:val="12"/>
              </w:rPr>
            </w:r>
            <w:r>
              <w:rPr>
                <w:b w:val="0"/>
                <w:sz w:val="12"/>
              </w:rPr>
              <w:t>AGE; six-month repayment history</w:t>
            </w:r>
          </w:p>
        </w:tc>
        <w:tc>
          <w:tcPr>
            <w:tcW w:type="dxa" w:w="3347"/>
            <w:vAlign w:val="top"/>
          </w:tcPr>
          <w:p>
            <w:pPr>
              <w:spacing w:before="0" w:after="0"/>
            </w:pPr>
            <w:r>
              <w:rPr>
                <w:sz w:val="12"/>
              </w:rPr>
            </w:r>
            <w:r>
              <w:rPr>
                <w:b w:val="0"/>
                <w:sz w:val="12"/>
              </w:rPr>
              <w:t>MSinceOldestTradeOpen; MSinceMostRecentTradeOpen; AverageMInFile. HELOC has stronger account-age history.</w:t>
            </w:r>
          </w:p>
        </w:tc>
      </w:tr>
      <w:tr>
        <w:tc>
          <w:tcPr>
            <w:tcW w:type="dxa" w:w="3347"/>
            <w:vAlign w:val="top"/>
          </w:tcPr>
          <w:p>
            <w:pPr>
              <w:spacing w:before="0" w:after="0"/>
            </w:pPr>
            <w:r>
              <w:rPr>
                <w:sz w:val="12"/>
              </w:rPr>
            </w:r>
            <w:r>
              <w:rPr>
                <w:b w:val="0"/>
                <w:sz w:val="12"/>
              </w:rPr>
              <w:t>Recent credit activity / inquiries</w:t>
            </w:r>
          </w:p>
        </w:tc>
        <w:tc>
          <w:tcPr>
            <w:tcW w:type="dxa" w:w="3347"/>
            <w:vAlign w:val="top"/>
          </w:tcPr>
          <w:p>
            <w:pPr>
              <w:spacing w:before="0" w:after="0"/>
            </w:pPr>
            <w:r>
              <w:rPr>
                <w:sz w:val="12"/>
              </w:rPr>
            </w:r>
            <w:r>
              <w:rPr>
                <w:b w:val="0"/>
                <w:sz w:val="12"/>
              </w:rPr>
              <w:t>No direct equivalent</w:t>
            </w:r>
          </w:p>
        </w:tc>
        <w:tc>
          <w:tcPr>
            <w:tcW w:type="dxa" w:w="3347"/>
            <w:vAlign w:val="top"/>
          </w:tcPr>
          <w:p>
            <w:pPr>
              <w:spacing w:before="0" w:after="0"/>
            </w:pPr>
            <w:r>
              <w:rPr>
                <w:sz w:val="12"/>
              </w:rPr>
            </w:r>
            <w:r>
              <w:rPr>
                <w:b w:val="0"/>
                <w:sz w:val="12"/>
              </w:rPr>
              <w:t>NumInqLast6M; NumInqLast6Mexcl7days; NumTradesOpeninLast12M; MSinceMostRecentInqexcl7days. HELOC has bureau inquiry/activity variables absent from Taiwan.</w:t>
            </w:r>
          </w:p>
        </w:tc>
      </w:tr>
      <w:tr>
        <w:tc>
          <w:tcPr>
            <w:tcW w:type="dxa" w:w="3347"/>
            <w:vAlign w:val="top"/>
          </w:tcPr>
          <w:p>
            <w:pPr>
              <w:spacing w:before="0" w:after="0"/>
            </w:pPr>
            <w:r>
              <w:rPr>
                <w:sz w:val="12"/>
              </w:rPr>
            </w:r>
            <w:r>
              <w:rPr>
                <w:b w:val="0"/>
                <w:sz w:val="12"/>
              </w:rPr>
              <w:t>Demographics</w:t>
            </w:r>
          </w:p>
        </w:tc>
        <w:tc>
          <w:tcPr>
            <w:tcW w:type="dxa" w:w="3347"/>
            <w:vAlign w:val="top"/>
          </w:tcPr>
          <w:p>
            <w:pPr>
              <w:spacing w:before="0" w:after="0"/>
            </w:pPr>
            <w:r>
              <w:rPr>
                <w:sz w:val="12"/>
              </w:rPr>
            </w:r>
            <w:r>
              <w:rPr>
                <w:b w:val="0"/>
                <w:sz w:val="12"/>
              </w:rPr>
              <w:t>SEX; EDUCATION; MARRIAGE; AGE</w:t>
            </w:r>
          </w:p>
        </w:tc>
        <w:tc>
          <w:tcPr>
            <w:tcW w:type="dxa" w:w="3347"/>
            <w:vAlign w:val="top"/>
          </w:tcPr>
          <w:p>
            <w:pPr>
              <w:spacing w:before="0" w:after="0"/>
            </w:pPr>
            <w:r>
              <w:rPr>
                <w:sz w:val="12"/>
              </w:rPr>
            </w:r>
            <w:r>
              <w:rPr>
                <w:b w:val="0"/>
                <w:sz w:val="12"/>
              </w:rPr>
              <w:t>No direct demographic equivalent in cleaned public HELOC features used here. Not transferable.</w:t>
            </w:r>
          </w:p>
        </w:tc>
      </w:tr>
      <w:tr>
        <w:tc>
          <w:tcPr>
            <w:tcW w:type="dxa" w:w="3347"/>
            <w:vAlign w:val="top"/>
          </w:tcPr>
          <w:p>
            <w:pPr>
              <w:spacing w:before="0" w:after="0"/>
            </w:pPr>
            <w:r>
              <w:rPr>
                <w:sz w:val="12"/>
              </w:rPr>
            </w:r>
            <w:r>
              <w:rPr>
                <w:b w:val="0"/>
                <w:sz w:val="12"/>
              </w:rPr>
              <w:t>External bureau risk score</w:t>
            </w:r>
          </w:p>
        </w:tc>
        <w:tc>
          <w:tcPr>
            <w:tcW w:type="dxa" w:w="3347"/>
            <w:vAlign w:val="top"/>
          </w:tcPr>
          <w:p>
            <w:pPr>
              <w:spacing w:before="0" w:after="0"/>
            </w:pPr>
            <w:r>
              <w:rPr>
                <w:sz w:val="12"/>
              </w:rPr>
            </w:r>
            <w:r>
              <w:rPr>
                <w:b w:val="0"/>
                <w:sz w:val="12"/>
              </w:rPr>
              <w:t>No direct equivalent</w:t>
            </w:r>
          </w:p>
        </w:tc>
        <w:tc>
          <w:tcPr>
            <w:tcW w:type="dxa" w:w="3347"/>
            <w:vAlign w:val="top"/>
          </w:tcPr>
          <w:p>
            <w:pPr>
              <w:spacing w:before="0" w:after="0"/>
            </w:pPr>
            <w:r>
              <w:rPr>
                <w:sz w:val="12"/>
              </w:rPr>
            </w:r>
            <w:r>
              <w:rPr>
                <w:b w:val="0"/>
                <w:sz w:val="12"/>
              </w:rPr>
              <w:t>ExternalRiskEstimate. HELOC includes an external bureau-style risk score; Taiwan does not.</w:t>
            </w:r>
          </w:p>
        </w:tc>
      </w:tr>
    </w:tbl>
    <w:p>
      <w:pPr>
        <w:pStyle w:val="PARA"/>
      </w:pPr>
      <w:r>
        <w:t>This table is not used to transform Taiwan features into HELOC features. It only documents how similar credit-risk concepts appear in different public schemas.</w:t>
      </w:r>
    </w:p>
    <w:p w14:paraId="5C79EBDC" w14:textId="77777777" w:rsidR="005C7A72" w:rsidRDefault="005C7A72">
      <w:pPr>
        <w:pStyle w:val="PARA"/>
      </w:pPr>
    </w:p>
    <w:p w14:paraId="4C5A357B" w14:textId="77777777" w:rsidR="005C7A72" w:rsidRDefault="009A2A24">
      <w:pPr>
        <w:pStyle w:val="PARA"/>
      </w:pPr>
      <w:r>
        <w:t>Feature engineering is row-wise and target-free. Taiwan features include delay counts, maximum and average delay severity, recent delay, total and average bill amounts, payment totals, payment-to-bill ratio, utilization proxy, and bill/payment volatility. Train-fitted preprocessing is isolated inside pipelines to avoid leakage.</w:t>
      </w:r>
    </w:p>
    <w:p w14:paraId="3BC2925D" w14:textId="77777777" w:rsidR="005C7A72" w:rsidRDefault="009A2A24">
      <w:pPr>
        <w:pStyle w:val="PARA"/>
        <w:keepNext/>
        <w:spacing w:before="100"/>
      </w:pPr>
      <w:r>
        <w:rPr>
          <w:b/>
          <w:i/>
        </w:rPr>
        <w:t>C. Experiment coverage</w:t>
      </w:r>
    </w:p>
    <w:p w14:paraId="3275DC18" w14:textId="77777777" w:rsidR="005C7A72" w:rsidRDefault="009A2A24">
      <w:pPr>
        <w:pStyle w:val="TableTitle"/>
        <w:keepNext/>
      </w:pPr>
      <w:r>
        <w:t>TABLE IV</w:t>
      </w:r>
    </w:p>
    <w:p w14:paraId="6E89442E" w14:textId="77777777" w:rsidR="005C7A72" w:rsidRDefault="009A2A24">
      <w:pPr>
        <w:pStyle w:val="TableTitle"/>
        <w:keepNext/>
      </w:pPr>
      <w:r>
        <w:t>MODEL FAMILIES AND IMPLEMENTATION COVERAGE</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1037"/>
        <w:gridCol w:w="1987"/>
        <w:gridCol w:w="1944"/>
      </w:tblGrid>
      <w:tr w:rsidR="005C7A72" w14:paraId="644ABC56" w14:textId="77777777">
        <w:trPr>
          <w:cantSplit/>
          <w:tblHeader/>
          <w:jc w:val="center"/>
        </w:trPr>
        <w:tc>
          <w:tcPr>
            <w:tcW w:w="1036" w:type="dxa"/>
            <w:shd w:val="clear" w:color="auto" w:fill="E9EEF7"/>
            <w:tcMar>
              <w:top w:w="48" w:type="dxa"/>
              <w:left w:w="48" w:type="dxa"/>
              <w:bottom w:w="48" w:type="dxa"/>
              <w:right w:w="48" w:type="dxa"/>
            </w:tcMar>
            <w:vAlign w:val="top"/>
          </w:tcPr>
          <w:p w14:paraId="23099325" w14:textId="77777777" w:rsidR="005C7A72" w:rsidRDefault="009A2A24">
            <w:pPr>
              <w:spacing w:before="0" w:after="0"/>
            </w:pPr>
            <w:r>
              <w:rPr>
                <w:b/>
                <w:sz w:val="12"/>
              </w:rPr>
              <w:t>Family</w:t>
            </w:r>
          </w:p>
        </w:tc>
        <w:tc>
          <w:tcPr>
            <w:tcW w:w="1987" w:type="dxa"/>
            <w:shd w:val="clear" w:color="auto" w:fill="E9EEF7"/>
            <w:tcMar>
              <w:top w:w="48" w:type="dxa"/>
              <w:left w:w="48" w:type="dxa"/>
              <w:bottom w:w="48" w:type="dxa"/>
              <w:right w:w="48" w:type="dxa"/>
            </w:tcMar>
            <w:vAlign w:val="top"/>
          </w:tcPr>
          <w:p w14:paraId="415EC4CA" w14:textId="77777777" w:rsidR="005C7A72" w:rsidRDefault="009A2A24">
            <w:pPr>
              <w:spacing w:before="0" w:after="0"/>
            </w:pPr>
            <w:r>
              <w:rPr>
                <w:b/>
                <w:sz w:val="12"/>
              </w:rPr>
              <w:t>Examples evaluated</w:t>
            </w:r>
          </w:p>
        </w:tc>
        <w:tc>
          <w:tcPr>
            <w:tcW w:w="1944" w:type="dxa"/>
            <w:shd w:val="clear" w:color="auto" w:fill="E9EEF7"/>
            <w:tcMar>
              <w:top w:w="48" w:type="dxa"/>
              <w:left w:w="48" w:type="dxa"/>
              <w:bottom w:w="48" w:type="dxa"/>
              <w:right w:w="48" w:type="dxa"/>
            </w:tcMar>
            <w:vAlign w:val="top"/>
          </w:tcPr>
          <w:p w14:paraId="6BB044C2" w14:textId="77777777" w:rsidR="005C7A72" w:rsidRDefault="009A2A24">
            <w:pPr>
              <w:spacing w:before="0" w:after="0"/>
            </w:pPr>
            <w:r>
              <w:rPr>
                <w:b/>
                <w:sz w:val="12"/>
              </w:rPr>
              <w:t>Purpose</w:t>
            </w:r>
          </w:p>
        </w:tc>
      </w:tr>
      <w:tr w:rsidR="005C7A72" w14:paraId="04A8BC1D" w14:textId="77777777">
        <w:trPr>
          <w:cantSplit/>
          <w:jc w:val="center"/>
        </w:trPr>
        <w:tc>
          <w:tcPr>
            <w:tcW w:w="1036" w:type="dxa"/>
            <w:tcMar>
              <w:top w:w="48" w:type="dxa"/>
              <w:left w:w="48" w:type="dxa"/>
              <w:bottom w:w="48" w:type="dxa"/>
              <w:right w:w="48" w:type="dxa"/>
            </w:tcMar>
            <w:vAlign w:val="top"/>
          </w:tcPr>
          <w:p w14:paraId="222824CF" w14:textId="77777777" w:rsidR="005C7A72" w:rsidRDefault="009A2A24">
            <w:pPr>
              <w:spacing w:before="0" w:after="0"/>
            </w:pPr>
            <w:r>
              <w:rPr>
                <w:sz w:val="12"/>
              </w:rPr>
              <w:t>Baselines</w:t>
            </w:r>
          </w:p>
        </w:tc>
        <w:tc>
          <w:tcPr>
            <w:tcW w:w="1987" w:type="dxa"/>
            <w:tcMar>
              <w:top w:w="48" w:type="dxa"/>
              <w:left w:w="48" w:type="dxa"/>
              <w:bottom w:w="48" w:type="dxa"/>
              <w:right w:w="48" w:type="dxa"/>
            </w:tcMar>
            <w:vAlign w:val="top"/>
          </w:tcPr>
          <w:p w14:paraId="7918CC72" w14:textId="77777777" w:rsidR="005C7A72" w:rsidRDefault="009A2A24">
            <w:pPr>
              <w:spacing w:before="0" w:after="0"/>
            </w:pPr>
            <w:r>
              <w:rPr>
                <w:sz w:val="12"/>
              </w:rPr>
              <w:t>Majority, logistic, class-weighted logistic, decision tree, random forest.</w:t>
            </w:r>
          </w:p>
        </w:tc>
        <w:tc>
          <w:tcPr>
            <w:tcW w:w="1944" w:type="dxa"/>
            <w:tcMar>
              <w:top w:w="48" w:type="dxa"/>
              <w:left w:w="48" w:type="dxa"/>
              <w:bottom w:w="48" w:type="dxa"/>
              <w:right w:w="48" w:type="dxa"/>
            </w:tcMar>
            <w:vAlign w:val="top"/>
          </w:tcPr>
          <w:p w14:paraId="47683AE8" w14:textId="77777777" w:rsidR="005C7A72" w:rsidRDefault="009A2A24">
            <w:pPr>
              <w:spacing w:before="0" w:after="0"/>
            </w:pPr>
            <w:r>
              <w:rPr>
                <w:sz w:val="12"/>
              </w:rPr>
              <w:t>Anchor performance and reveal class-imbalance trade-offs.</w:t>
            </w:r>
          </w:p>
        </w:tc>
      </w:tr>
      <w:tr w:rsidR="005C7A72" w14:paraId="6CCF2C0B" w14:textId="77777777">
        <w:trPr>
          <w:cantSplit/>
          <w:jc w:val="center"/>
        </w:trPr>
        <w:tc>
          <w:tcPr>
            <w:tcW w:w="1036" w:type="dxa"/>
            <w:tcMar>
              <w:top w:w="48" w:type="dxa"/>
              <w:left w:w="48" w:type="dxa"/>
              <w:bottom w:w="48" w:type="dxa"/>
              <w:right w:w="48" w:type="dxa"/>
            </w:tcMar>
            <w:vAlign w:val="top"/>
          </w:tcPr>
          <w:p w14:paraId="5845523E" w14:textId="77777777" w:rsidR="005C7A72" w:rsidRDefault="009A2A24">
            <w:pPr>
              <w:spacing w:before="0" w:after="0"/>
            </w:pPr>
            <w:r>
              <w:rPr>
                <w:sz w:val="12"/>
              </w:rPr>
              <w:t>Boosting</w:t>
            </w:r>
          </w:p>
        </w:tc>
        <w:tc>
          <w:tcPr>
            <w:tcW w:w="1987" w:type="dxa"/>
            <w:tcMar>
              <w:top w:w="48" w:type="dxa"/>
              <w:left w:w="48" w:type="dxa"/>
              <w:bottom w:w="48" w:type="dxa"/>
              <w:right w:w="48" w:type="dxa"/>
            </w:tcMar>
            <w:vAlign w:val="top"/>
          </w:tcPr>
          <w:p w14:paraId="7670E6B7" w14:textId="77777777" w:rsidR="005C7A72" w:rsidRDefault="009A2A24">
            <w:pPr>
              <w:spacing w:before="0" w:after="0"/>
            </w:pPr>
            <w:r>
              <w:rPr>
                <w:sz w:val="12"/>
              </w:rPr>
              <w:t>XGBoost, LightGBM, CatBoost, monotonic variants, class-weighted variants.</w:t>
            </w:r>
          </w:p>
        </w:tc>
        <w:tc>
          <w:tcPr>
            <w:tcW w:w="1944" w:type="dxa"/>
            <w:tcMar>
              <w:top w:w="48" w:type="dxa"/>
              <w:left w:w="48" w:type="dxa"/>
              <w:bottom w:w="48" w:type="dxa"/>
              <w:right w:w="48" w:type="dxa"/>
            </w:tcMar>
            <w:vAlign w:val="top"/>
          </w:tcPr>
          <w:p w14:paraId="645004A5" w14:textId="77777777" w:rsidR="005C7A72" w:rsidRDefault="009A2A24">
            <w:pPr>
              <w:spacing w:before="0" w:after="0"/>
            </w:pPr>
            <w:r>
              <w:rPr>
                <w:sz w:val="12"/>
              </w:rPr>
              <w:t>High-performing tabular candidates and operational comparison.</w:t>
            </w:r>
          </w:p>
        </w:tc>
      </w:tr>
      <w:tr w:rsidR="005C7A72" w14:paraId="431F235B" w14:textId="77777777">
        <w:trPr>
          <w:cantSplit/>
          <w:jc w:val="center"/>
        </w:trPr>
        <w:tc>
          <w:tcPr>
            <w:tcW w:w="1036" w:type="dxa"/>
            <w:tcMar>
              <w:top w:w="48" w:type="dxa"/>
              <w:left w:w="48" w:type="dxa"/>
              <w:bottom w:w="48" w:type="dxa"/>
              <w:right w:w="48" w:type="dxa"/>
            </w:tcMar>
            <w:vAlign w:val="top"/>
          </w:tcPr>
          <w:p w14:paraId="62D996BC" w14:textId="77777777" w:rsidR="005C7A72" w:rsidRDefault="009A2A24">
            <w:pPr>
              <w:spacing w:before="0" w:after="0"/>
            </w:pPr>
            <w:r>
              <w:rPr>
                <w:sz w:val="12"/>
              </w:rPr>
              <w:t>Scorecard</w:t>
            </w:r>
          </w:p>
        </w:tc>
        <w:tc>
          <w:tcPr>
            <w:tcW w:w="1987" w:type="dxa"/>
            <w:tcMar>
              <w:top w:w="48" w:type="dxa"/>
              <w:left w:w="48" w:type="dxa"/>
              <w:bottom w:w="48" w:type="dxa"/>
              <w:right w:w="48" w:type="dxa"/>
            </w:tcMar>
            <w:vAlign w:val="top"/>
          </w:tcPr>
          <w:p w14:paraId="50788423" w14:textId="77777777" w:rsidR="005C7A72" w:rsidRDefault="009A2A24">
            <w:pPr>
              <w:spacing w:before="0" w:after="0"/>
            </w:pPr>
            <w:r>
              <w:rPr>
                <w:sz w:val="12"/>
              </w:rPr>
              <w:t>WOE scorecard-style logistic regression.</w:t>
            </w:r>
          </w:p>
        </w:tc>
        <w:tc>
          <w:tcPr>
            <w:tcW w:w="1944" w:type="dxa"/>
            <w:tcMar>
              <w:top w:w="48" w:type="dxa"/>
              <w:left w:w="48" w:type="dxa"/>
              <w:bottom w:w="48" w:type="dxa"/>
              <w:right w:w="48" w:type="dxa"/>
            </w:tcMar>
            <w:vAlign w:val="top"/>
          </w:tcPr>
          <w:p w14:paraId="3A720463" w14:textId="77777777" w:rsidR="005C7A72" w:rsidRDefault="009A2A24">
            <w:pPr>
              <w:spacing w:before="0" w:after="0"/>
            </w:pPr>
            <w:r>
              <w:rPr>
                <w:sz w:val="12"/>
              </w:rPr>
              <w:t>Interpretable benchmark and final HELOC policy.</w:t>
            </w:r>
          </w:p>
        </w:tc>
      </w:tr>
      <w:tr w:rsidR="005C7A72" w14:paraId="7D235FA9" w14:textId="77777777">
        <w:trPr>
          <w:cantSplit/>
          <w:jc w:val="center"/>
        </w:trPr>
        <w:tc>
          <w:tcPr>
            <w:tcW w:w="1036" w:type="dxa"/>
            <w:tcMar>
              <w:top w:w="48" w:type="dxa"/>
              <w:left w:w="48" w:type="dxa"/>
              <w:bottom w:w="48" w:type="dxa"/>
              <w:right w:w="48" w:type="dxa"/>
            </w:tcMar>
            <w:vAlign w:val="top"/>
          </w:tcPr>
          <w:p w14:paraId="1C9C2849" w14:textId="77777777" w:rsidR="005C7A72" w:rsidRDefault="009A2A24">
            <w:pPr>
              <w:spacing w:before="0" w:after="0"/>
            </w:pPr>
            <w:r>
              <w:rPr>
                <w:sz w:val="12"/>
              </w:rPr>
              <w:t>SCRE family</w:t>
            </w:r>
          </w:p>
        </w:tc>
        <w:tc>
          <w:tcPr>
            <w:tcW w:w="1987" w:type="dxa"/>
            <w:tcMar>
              <w:top w:w="48" w:type="dxa"/>
              <w:left w:w="48" w:type="dxa"/>
              <w:bottom w:w="48" w:type="dxa"/>
              <w:right w:w="48" w:type="dxa"/>
            </w:tcMar>
            <w:vAlign w:val="top"/>
          </w:tcPr>
          <w:p w14:paraId="2DC24446" w14:textId="77777777" w:rsidR="005C7A72" w:rsidRDefault="009A2A24">
            <w:pPr>
              <w:spacing w:before="0" w:after="0"/>
            </w:pPr>
            <w:r>
              <w:rPr>
                <w:sz w:val="12"/>
              </w:rPr>
              <w:t>Old SCRE-Credit, SCRE-Pareto, SCRE-Optimized.</w:t>
            </w:r>
          </w:p>
        </w:tc>
        <w:tc>
          <w:tcPr>
            <w:tcW w:w="1944" w:type="dxa"/>
            <w:tcMar>
              <w:top w:w="48" w:type="dxa"/>
              <w:left w:w="48" w:type="dxa"/>
              <w:bottom w:w="48" w:type="dxa"/>
              <w:right w:w="48" w:type="dxa"/>
            </w:tcMar>
            <w:vAlign w:val="top"/>
          </w:tcPr>
          <w:p w14:paraId="10C1FD69" w14:textId="77777777" w:rsidR="005C7A72" w:rsidRDefault="009A2A24">
            <w:pPr>
              <w:spacing w:before="0" w:after="0"/>
            </w:pPr>
            <w:r>
              <w:rPr>
                <w:sz w:val="12"/>
              </w:rPr>
              <w:t xml:space="preserve">Reliability-aware framework and </w:t>
            </w:r>
            <w:r>
              <w:rPr>
                <w:sz w:val="12"/>
              </w:rPr>
              <w:t>review-prioritization evidence.</w:t>
            </w:r>
          </w:p>
        </w:tc>
      </w:tr>
      <w:tr w:rsidR="005C7A72" w14:paraId="3D46B631" w14:textId="77777777">
        <w:trPr>
          <w:cantSplit/>
          <w:jc w:val="center"/>
        </w:trPr>
        <w:tc>
          <w:tcPr>
            <w:tcW w:w="1036" w:type="dxa"/>
            <w:tcMar>
              <w:top w:w="48" w:type="dxa"/>
              <w:left w:w="48" w:type="dxa"/>
              <w:bottom w:w="48" w:type="dxa"/>
              <w:right w:w="48" w:type="dxa"/>
            </w:tcMar>
            <w:vAlign w:val="top"/>
          </w:tcPr>
          <w:p w14:paraId="5119D147" w14:textId="77777777" w:rsidR="005C7A72" w:rsidRDefault="009A2A24">
            <w:pPr>
              <w:spacing w:before="0" w:after="0"/>
            </w:pPr>
            <w:r>
              <w:rPr>
                <w:sz w:val="12"/>
              </w:rPr>
              <w:t>Stress tests</w:t>
            </w:r>
          </w:p>
        </w:tc>
        <w:tc>
          <w:tcPr>
            <w:tcW w:w="1987" w:type="dxa"/>
            <w:tcMar>
              <w:top w:w="48" w:type="dxa"/>
              <w:left w:w="48" w:type="dxa"/>
              <w:bottom w:w="48" w:type="dxa"/>
              <w:right w:w="48" w:type="dxa"/>
            </w:tcMar>
            <w:vAlign w:val="top"/>
          </w:tcPr>
          <w:p w14:paraId="667E666F" w14:textId="77777777" w:rsidR="005C7A72" w:rsidRDefault="009A2A24">
            <w:pPr>
              <w:spacing w:before="0" w:after="0"/>
            </w:pPr>
            <w:r>
              <w:rPr>
                <w:sz w:val="12"/>
              </w:rPr>
              <w:t>Literature reproduction, imbalance boosting, deep MLP, EBM, capacity review, decision curves.</w:t>
            </w:r>
          </w:p>
        </w:tc>
        <w:tc>
          <w:tcPr>
            <w:tcW w:w="1944" w:type="dxa"/>
            <w:tcMar>
              <w:top w:w="48" w:type="dxa"/>
              <w:left w:w="48" w:type="dxa"/>
              <w:bottom w:w="48" w:type="dxa"/>
              <w:right w:w="48" w:type="dxa"/>
            </w:tcMar>
            <w:vAlign w:val="top"/>
          </w:tcPr>
          <w:p w14:paraId="1A2CA1C5" w14:textId="77777777" w:rsidR="005C7A72" w:rsidRDefault="009A2A24">
            <w:pPr>
              <w:spacing w:before="0" w:after="0"/>
            </w:pPr>
            <w:r>
              <w:rPr>
                <w:sz w:val="12"/>
              </w:rPr>
              <w:t>Check whether stronger or more complex attempts safely replace the audited final system.</w:t>
            </w:r>
          </w:p>
        </w:tc>
      </w:tr>
    </w:tbl>
    <w:p w14:paraId="5CC85568" w14:textId="77777777" w:rsidR="005C7A72" w:rsidRDefault="005C7A72">
      <w:pPr>
        <w:pStyle w:val="PARA"/>
      </w:pPr>
    </w:p>
    <w:p w14:paraId="0C816E4C" w14:textId="77777777" w:rsidR="005C7A72" w:rsidRDefault="009A2A24">
      <w:pPr>
        <w:pStyle w:val="PARA"/>
      </w:pPr>
      <w:r>
        <w:t xml:space="preserve">The </w:t>
      </w:r>
      <w:r>
        <w:t>environment files document a Python 3.10 stack with pandas, NumPy, scikit-learn, imbalanced-learn, XGBoost, LightGBM, CatBoost, Optuna, SHAP, LIME, matplotlib, and pytest. Tests cover split leakage, cleaning, metrics, calibration outputs, threshold outputs, feature engineering, subgroup reliability, and phase outputs.</w:t>
      </w:r>
    </w:p>
    <w:p w14:paraId="5C710238" w14:textId="77777777" w:rsidR="005C7A72" w:rsidRDefault="009A2A24">
      <w:pPr>
        <w:pStyle w:val="H1ListSpace"/>
      </w:pPr>
      <w:r>
        <w:t>METHODOLOGY</w:t>
      </w:r>
    </w:p>
    <w:p w14:paraId="766F096A" w14:textId="77777777" w:rsidR="005C7A72" w:rsidRDefault="009A2A24">
      <w:pPr>
        <w:pStyle w:val="PARA"/>
        <w:keepNext/>
        <w:spacing w:before="60"/>
      </w:pPr>
      <w:r>
        <w:rPr>
          <w:b/>
          <w:i/>
        </w:rPr>
        <w:t>A. Validation-locked selection</w:t>
      </w:r>
    </w:p>
    <w:p w14:paraId="1CC91701" w14:textId="77777777" w:rsidR="005C7A72" w:rsidRDefault="009A2A24">
      <w:pPr>
        <w:pStyle w:val="PARA"/>
      </w:pPr>
      <w:r>
        <w:t>The central design rule is that training, validation, and held-out test roles must remain distinct. Training data fit preprocessing and models. Validation data choose model family, calibration method, threshold, and manual-review band. The held-out test set is opened only once after the policy is frozen. Therefore, validation tables may contain ranks and winner flags, but held-out test tables are evidence tables only.</w:t>
      </w:r>
    </w:p>
    <w:p w14:paraId="69843FA0" w14:textId="77777777" w:rsidR="005C7A72" w:rsidRDefault="009A2A24">
      <w:pPr>
        <w:keepNext/>
        <w:spacing w:before="60" w:after="20"/>
        <w:jc w:val="center"/>
      </w:pPr>
      <w:r>
        <w:rPr>
          <w:noProof/>
        </w:rPr>
        <w:lastRenderedPageBreak/>
        <w:drawing>
          <wp:inline distT="0" distB="0" distL="0" distR="0" wp14:anchorId="7422B6DB" wp14:editId="72CDECD6">
            <wp:extent cx="3063240" cy="15826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alidation_locked_protocol.png"/>
                    <pic:cNvPicPr/>
                  </pic:nvPicPr>
                  <pic:blipFill>
                    <a:blip r:embed="rId14"/>
                    <a:stretch>
                      <a:fillRect/>
                    </a:stretch>
                  </pic:blipFill>
                  <pic:spPr>
                    <a:xfrm>
                      <a:off x="0" y="0"/>
                      <a:ext cx="3063240" cy="1582674"/>
                    </a:xfrm>
                    <a:prstGeom prst="rect">
                      <a:avLst/>
                    </a:prstGeom>
                  </pic:spPr>
                </pic:pic>
              </a:graphicData>
            </a:graphic>
          </wp:inline>
        </w:drawing>
      </w:r>
    </w:p>
    <w:p w14:paraId="1189DB28" w14:textId="77777777" w:rsidR="005C7A72" w:rsidRDefault="009A2A24">
      <w:pPr>
        <w:pStyle w:val="FigCaption"/>
        <w:keepLines/>
        <w:jc w:val="center"/>
      </w:pPr>
      <w:r>
        <w:t>FIGURE 1. Validation-locked selection and evaluation protocol.</w:t>
      </w:r>
    </w:p>
    <w:p w14:paraId="70A954EF" w14:textId="77777777" w:rsidR="005C7A72" w:rsidRDefault="009A2A24">
      <w:pPr>
        <w:pStyle w:val="PARA"/>
        <w:keepNext/>
        <w:spacing w:before="100"/>
      </w:pPr>
      <w:r>
        <w:rPr>
          <w:b/>
          <w:i/>
        </w:rPr>
        <w:t>B. SCRE-Credit scoring</w:t>
      </w:r>
    </w:p>
    <w:p w14:paraId="2B2C5900" w14:textId="77777777" w:rsidR="005C7A72" w:rsidRDefault="009A2A24">
      <w:pPr>
        <w:pStyle w:val="PARA"/>
      </w:pPr>
      <w:r>
        <w:t>SCRE-Credit can be interpreted as a weighted voting system for probability estimates. Each candidate model first receives a reliability score from validation evidence. The score rewards models that rank defaults well, remain calibrated enough for thresholding, reduce cost under the stated proxy assumptions, behave stably, and have plausible explanation diagnostics. All components are normalized so that larger values mean stronger reliability evidence.</w:t>
      </w:r>
    </w:p>
    <w:p w14:paraId="5F5F185C" w14:textId="77777777" w:rsidR="005C7A72" w:rsidRDefault="009A2A24">
      <w:pPr>
        <w:pStyle w:val="Equation"/>
        <w:jc w:val="center"/>
      </w:pPr>
      <w:r>
        <w:t>R_m = 0.20 PR_m + 0.15 AUC_m + 0.15 Recall_m + 0.15 Cal_m + 0.15 Cost_m + 0.10 Stability_m + 0.10 Faithfulness_m (1)</w:t>
      </w:r>
    </w:p>
    <w:p w14:paraId="5E366693" w14:textId="77777777" w:rsidR="005C7A72" w:rsidRDefault="009A2A24">
      <w:pPr>
        <w:pStyle w:val="PARA"/>
      </w:pPr>
      <w:r>
        <w:t>In (1), R_m is the reliability score of model m. PR_m is the normalized PR-AUC component; AUC_m is the normalized ROC-AUC component; Recall_m is the normalized recall component; Cal_m is the calibration-quality component; Cost_m is the normalized cost component; Stability_m summarizes available rank-stability evidence; and Faithfulness_m summarizes perturbation-based explanation checks. The coefficients are validation-side design weights, so the equation ranks reliability evidence rather than retraining a new classifier.</w:t>
      </w:r>
    </w:p>
    <w:p w14:paraId="6809F77B" w14:textId="77777777" w:rsidR="005C7A72" w:rsidRDefault="009A2A24">
      <w:pPr>
        <w:pStyle w:val="PARA"/>
      </w:pPr>
      <w:r>
        <w:t>After each model has a reliability score, the scores are turned into model weights. A model weight is its own reliability score divided by the total reliability score of all candidate models, so the weights sum to one. A model with twice the reliability score of another model receives roughly twice the voting weight in the final probability average.</w:t>
      </w:r>
    </w:p>
    <w:p w14:paraId="616820F8" w14:textId="77777777" w:rsidR="005C7A72" w:rsidRDefault="009A2A24">
      <w:pPr>
        <w:pStyle w:val="Equation"/>
        <w:jc w:val="center"/>
      </w:pPr>
      <w:r>
        <w:t>w_m = R_m / SUM_k R_k</w:t>
      </w:r>
      <w:r>
        <w:br/>
      </w:r>
      <w:r>
        <w:t>P_final(x) = SUM_m w_m p_m(x) (2)</w:t>
      </w:r>
    </w:p>
    <w:p w14:paraId="72C5AA86" w14:textId="77777777" w:rsidR="005C7A72" w:rsidRDefault="009A2A24">
      <w:pPr>
        <w:pStyle w:val="PARA"/>
      </w:pPr>
      <w:r>
        <w:t>In (2), x is one customer or applicant, p_m(x) is the default probability predicted by model m, w_m is that model's reliability weight, and P_final(x) is the final screening probability. SUM denotes summation over the candidate models. Equation (2) does not create an automatic rejection rule; it creates a calibrated screening score that can later be routed through low-risk, manual-review, or high-risk decision buckets.</w:t>
      </w:r>
    </w:p>
    <w:p w14:paraId="242BCE1E" w14:textId="77777777" w:rsidR="005C7A72" w:rsidRDefault="009A2A24">
      <w:pPr>
        <w:pStyle w:val="PARA"/>
        <w:keepNext/>
        <w:spacing w:before="100"/>
      </w:pPr>
      <w:r>
        <w:rPr>
          <w:b/>
          <w:i/>
        </w:rPr>
        <w:t>C. Manual-review cost</w:t>
      </w:r>
    </w:p>
    <w:p w14:paraId="3F8F1D0E" w14:textId="77777777" w:rsidR="005C7A72" w:rsidRDefault="009A2A24">
      <w:pPr>
        <w:pStyle w:val="PARA"/>
      </w:pPr>
      <w:r>
        <w:t>The final policy has three actions. If the predicted risk is below t_low, the case is treated as low risk. If the predicted risk is above t_high, the case is treated as high risk. If the predicted risk falls between those two values, the case goes to manual review. The project uses two thresholds because credit screening is not safe when every uncertain customer is forced into a hard yes-or-no automatic decision.</w:t>
      </w:r>
    </w:p>
    <w:p>
      <w:pPr>
        <w:pStyle w:val="TableTitle"/>
      </w:pPr>
      <w:r>
        <w:t>TABLE V</w:t>
      </w:r>
    </w:p>
    <w:p>
      <w:pPr>
        <w:pStyle w:val="TableTitle"/>
      </w:pPr>
      <w:r>
        <w:t>MANUAL-REVIEW 3x2 DECISION STRUCTURE</w:t>
      </w:r>
    </w:p>
    <w:tbl>
      <w:tblPr>
        <w:tblW w:type="auto" w:w="0"/>
        <w:jc w:val="center"/>
        <w:tblLayout w:type="autofit"/>
        <w:tblLook w:firstColumn="1" w:firstRow="1" w:lastColumn="0" w:lastRow="0" w:noHBand="0" w:noVBand="1" w:val="04A0"/>
      </w:tblPr>
      <w:tblGrid>
        <w:gridCol w:w="3347"/>
        <w:gridCol w:w="3347"/>
        <w:gridCol w:w="3347"/>
      </w:tblGrid>
      <w:tr>
        <w:tc>
          <w:tcPr>
            <w:tcW w:type="dxa" w:w="3347"/>
            <w:vAlign w:val="top"/>
          </w:tcPr>
          <w:p>
            <w:pPr>
              <w:spacing w:before="0" w:after="0"/>
            </w:pPr>
            <w:r>
              <w:rPr>
                <w:sz w:val="12"/>
              </w:rPr>
            </w:r>
            <w:r>
              <w:rPr>
                <w:b/>
                <w:sz w:val="12"/>
              </w:rPr>
              <w:t>Decision bucket</w:t>
            </w:r>
          </w:p>
        </w:tc>
        <w:tc>
          <w:tcPr>
            <w:tcW w:type="dxa" w:w="3347"/>
            <w:vAlign w:val="top"/>
          </w:tcPr>
          <w:p>
            <w:pPr>
              <w:spacing w:before="0" w:after="0"/>
            </w:pPr>
            <w:r>
              <w:rPr>
                <w:sz w:val="12"/>
              </w:rPr>
            </w:r>
            <w:r>
              <w:rPr>
                <w:b/>
                <w:sz w:val="12"/>
              </w:rPr>
              <w:t>Non-default outcome</w:t>
            </w:r>
          </w:p>
        </w:tc>
        <w:tc>
          <w:tcPr>
            <w:tcW w:type="dxa" w:w="3347"/>
            <w:vAlign w:val="top"/>
          </w:tcPr>
          <w:p>
            <w:pPr>
              <w:spacing w:before="0" w:after="0"/>
            </w:pPr>
            <w:r>
              <w:rPr>
                <w:sz w:val="12"/>
              </w:rPr>
            </w:r>
            <w:r>
              <w:rPr>
                <w:b/>
                <w:sz w:val="12"/>
              </w:rPr>
              <w:t>Default outcome</w:t>
            </w:r>
          </w:p>
        </w:tc>
      </w:tr>
      <w:tr>
        <w:tc>
          <w:tcPr>
            <w:tcW w:type="dxa" w:w="3347"/>
            <w:vAlign w:val="top"/>
          </w:tcPr>
          <w:p>
            <w:pPr>
              <w:spacing w:before="0" w:after="0"/>
            </w:pPr>
            <w:r>
              <w:rPr>
                <w:sz w:val="12"/>
              </w:rPr>
            </w:r>
            <w:r>
              <w:rPr>
                <w:b w:val="0"/>
                <w:sz w:val="12"/>
              </w:rPr>
              <w:t>Low risk</w:t>
            </w:r>
          </w:p>
        </w:tc>
        <w:tc>
          <w:tcPr>
            <w:tcW w:type="dxa" w:w="3347"/>
            <w:vAlign w:val="top"/>
          </w:tcPr>
          <w:p>
            <w:pPr>
              <w:spacing w:before="0" w:after="0"/>
            </w:pPr>
            <w:r>
              <w:rPr>
                <w:sz w:val="12"/>
              </w:rPr>
            </w:r>
            <w:r>
              <w:rPr>
                <w:b w:val="0"/>
                <w:sz w:val="12"/>
              </w:rPr>
              <w:t>TN_low</w:t>
            </w:r>
          </w:p>
        </w:tc>
        <w:tc>
          <w:tcPr>
            <w:tcW w:type="dxa" w:w="3347"/>
            <w:vAlign w:val="top"/>
          </w:tcPr>
          <w:p>
            <w:pPr>
              <w:spacing w:before="0" w:after="0"/>
            </w:pPr>
            <w:r>
              <w:rPr>
                <w:sz w:val="12"/>
              </w:rPr>
            </w:r>
            <w:r>
              <w:rPr>
                <w:b w:val="0"/>
                <w:sz w:val="12"/>
              </w:rPr>
              <w:t>FN_low</w:t>
            </w:r>
          </w:p>
        </w:tc>
      </w:tr>
      <w:tr>
        <w:tc>
          <w:tcPr>
            <w:tcW w:type="dxa" w:w="3347"/>
            <w:vAlign w:val="top"/>
          </w:tcPr>
          <w:p>
            <w:pPr>
              <w:spacing w:before="0" w:after="0"/>
            </w:pPr>
            <w:r>
              <w:rPr>
                <w:sz w:val="12"/>
              </w:rPr>
            </w:r>
            <w:r>
              <w:rPr>
                <w:b w:val="0"/>
                <w:sz w:val="12"/>
              </w:rPr>
              <w:t>Manual review</w:t>
            </w:r>
          </w:p>
        </w:tc>
        <w:tc>
          <w:tcPr>
            <w:tcW w:type="dxa" w:w="3347"/>
            <w:vAlign w:val="top"/>
          </w:tcPr>
          <w:p>
            <w:pPr>
              <w:spacing w:before="0" w:after="0"/>
            </w:pPr>
            <w:r>
              <w:rPr>
                <w:sz w:val="12"/>
              </w:rPr>
            </w:r>
            <w:r>
              <w:rPr>
                <w:b w:val="0"/>
                <w:sz w:val="12"/>
              </w:rPr>
              <w:t>MR_nondefault</w:t>
            </w:r>
          </w:p>
        </w:tc>
        <w:tc>
          <w:tcPr>
            <w:tcW w:type="dxa" w:w="3347"/>
            <w:vAlign w:val="top"/>
          </w:tcPr>
          <w:p>
            <w:pPr>
              <w:spacing w:before="0" w:after="0"/>
            </w:pPr>
            <w:r>
              <w:rPr>
                <w:sz w:val="12"/>
              </w:rPr>
            </w:r>
            <w:r>
              <w:rPr>
                <w:b w:val="0"/>
                <w:sz w:val="12"/>
              </w:rPr>
              <w:t>MR_default</w:t>
            </w:r>
          </w:p>
        </w:tc>
      </w:tr>
      <w:tr>
        <w:tc>
          <w:tcPr>
            <w:tcW w:type="dxa" w:w="3347"/>
            <w:vAlign w:val="top"/>
          </w:tcPr>
          <w:p>
            <w:pPr>
              <w:spacing w:before="0" w:after="0"/>
            </w:pPr>
            <w:r>
              <w:rPr>
                <w:sz w:val="12"/>
              </w:rPr>
            </w:r>
            <w:r>
              <w:rPr>
                <w:b w:val="0"/>
                <w:sz w:val="12"/>
              </w:rPr>
              <w:t>High risk</w:t>
            </w:r>
          </w:p>
        </w:tc>
        <w:tc>
          <w:tcPr>
            <w:tcW w:type="dxa" w:w="3347"/>
            <w:vAlign w:val="top"/>
          </w:tcPr>
          <w:p>
            <w:pPr>
              <w:spacing w:before="0" w:after="0"/>
            </w:pPr>
            <w:r>
              <w:rPr>
                <w:sz w:val="12"/>
              </w:rPr>
            </w:r>
            <w:r>
              <w:rPr>
                <w:b w:val="0"/>
                <w:sz w:val="12"/>
              </w:rPr>
              <w:t>FP_high</w:t>
            </w:r>
          </w:p>
        </w:tc>
        <w:tc>
          <w:tcPr>
            <w:tcW w:type="dxa" w:w="3347"/>
            <w:vAlign w:val="top"/>
          </w:tcPr>
          <w:p>
            <w:pPr>
              <w:spacing w:before="0" w:after="0"/>
            </w:pPr>
            <w:r>
              <w:rPr>
                <w:sz w:val="12"/>
              </w:rPr>
            </w:r>
            <w:r>
              <w:rPr>
                <w:b w:val="0"/>
                <w:sz w:val="12"/>
              </w:rPr>
              <w:t>TP_high</w:t>
            </w:r>
          </w:p>
        </w:tc>
      </w:tr>
    </w:tbl>
    <w:p>
      <w:pPr>
        <w:pStyle w:val="PARA"/>
      </w:pPr>
      <w:r>
        <w:t>Low-risk defaults are missed defaults, high-risk non-defaults are false alarms, and manual-review cases are treated as workload rather than automatic errors. This 3x2 structure is used to keep manual-review metrics separate from ordinary binary-classification metrics.</w:t>
      </w:r>
    </w:p>
    <w:p w14:paraId="705A78DA" w14:textId="77777777" w:rsidR="005C7A72" w:rsidRDefault="009A2A24">
      <w:pPr>
        <w:pStyle w:val="PARA"/>
      </w:pPr>
      <w:r>
        <w:t>The review-adjusted cost counts three things: missed defaults, false alarms, and manual-review workload. A missed default is a real default that the system lets pass as low risk. A false alarm is a non-default customer that the system treats as high risk. A reviewed case is not counted as an automatic error, but it still has workload cost.</w:t>
      </w:r>
    </w:p>
    <w:p w14:paraId="59DB2A12" w14:textId="77777777" w:rsidR="005C7A72" w:rsidRDefault="009A2A24">
      <w:pPr>
        <w:pStyle w:val="Equation"/>
        <w:jc w:val="center"/>
      </w:pPr>
      <w:r>
        <w:t>Review cost = 5 x missed defaults + 1 x false alarms + 0.5 x reviewed cases</w:t>
      </w:r>
      <w:r>
        <w:tab/>
        <w:t>(3)</w:t>
      </w:r>
    </w:p>
    <w:p w14:paraId="47E9DD83" w14:textId="77777777" w:rsidR="005C7A72" w:rsidRDefault="009A2A24">
      <w:pPr>
        <w:pStyle w:val="PARA"/>
      </w:pPr>
      <w:r>
        <w:t>Equation (3) is the plain-language version of the cost rule used in the main comparison. The value 5 means that missing a true default is considered five times as costly as one false alarm. The value 0.5 means that sending a case to manual review has half the cost of one false alarm. This cost model is transparent but not claimed as a real bank loss model. Its value is to compare policies consistently and to avoid optimizing only one metric such as accuracy or recall.</w:t>
      </w:r>
    </w:p>
    <w:p w14:paraId="71E3D6C9" w14:textId="77777777" w:rsidR="005C7A72" w:rsidRDefault="009A2A24">
      <w:pPr>
        <w:pStyle w:val="PARA"/>
      </w:pPr>
      <w:r>
        <w:t>With this design, the final revised system is a workflow rather than a single model score. It estimates risk, uses two thresholds to separate clear low-risk and clear high-risk cases, and sends uncertain cases to a reviewer. That is the meaning of the final system throughout the report.</w:t>
      </w:r>
    </w:p>
    <w:p w14:paraId="4CB3C1F3" w14:textId="77777777" w:rsidR="005C7A72" w:rsidRDefault="009A2A24">
      <w:pPr>
        <w:pStyle w:val="H1ListSpace"/>
      </w:pPr>
      <w:r>
        <w:t>MODEL COMPARISONS AND FINAL RESULTS</w:t>
      </w:r>
    </w:p>
    <w:p w14:paraId="27245488" w14:textId="77777777" w:rsidR="005C7A72" w:rsidRDefault="009A2A24">
      <w:pPr>
        <w:pStyle w:val="PARA"/>
        <w:keepNext/>
        <w:spacing w:before="60"/>
      </w:pPr>
      <w:r>
        <w:rPr>
          <w:b/>
          <w:i/>
        </w:rPr>
        <w:t>A. Validation-only winners</w:t>
      </w:r>
    </w:p>
    <w:p w14:paraId="37CBA34C" w14:textId="77777777" w:rsidR="005C7A72" w:rsidRDefault="009A2A24">
      <w:pPr>
        <w:pStyle w:val="TableTitle"/>
        <w:keepNext/>
      </w:pPr>
      <w:r>
        <w:t>TABLE VI</w:t>
      </w:r>
    </w:p>
    <w:p w14:paraId="1A4475CD" w14:textId="77777777" w:rsidR="005C7A72" w:rsidRDefault="009A2A24">
      <w:pPr>
        <w:pStyle w:val="TableTitle"/>
        <w:keepNext/>
      </w:pPr>
      <w:r>
        <w:t>VALIDATION-SELECTED POLICIES BEFORE HELD-OUT TESTING</w:t>
      </w:r>
    </w:p>
    <w:tbl>
      <w:tblPr>
        <w:tblW w:type="auto" w:w="0"/>
        <w:jc w:val="center"/>
        <w:tblLayout w:type="autofit"/>
        <w:tblLook w:firstColumn="1" w:firstRow="1" w:lastColumn="0" w:lastRow="0" w:noHBand="0" w:noVBand="1" w:val="04A0"/>
      </w:tblPr>
      <w:tblGrid>
        <w:gridCol w:w="2510"/>
        <w:gridCol w:w="2510"/>
        <w:gridCol w:w="2510"/>
        <w:gridCol w:w="2510"/>
      </w:tblGrid>
      <w:tr>
        <w:tc>
          <w:tcPr>
            <w:tcW w:type="dxa" w:w="2510"/>
            <w:vAlign w:val="top"/>
          </w:tcPr>
          <w:p>
            <w:pPr>
              <w:spacing w:before="0" w:after="0"/>
            </w:pPr>
            <w:r>
              <w:rPr>
                <w:sz w:val="12"/>
              </w:rPr>
            </w:r>
            <w:r>
              <w:rPr>
                <w:b/>
                <w:sz w:val="12"/>
              </w:rPr>
              <w:t>Dataset / track</w:t>
            </w:r>
          </w:p>
        </w:tc>
        <w:tc>
          <w:tcPr>
            <w:tcW w:type="dxa" w:w="2510"/>
            <w:vAlign w:val="top"/>
          </w:tcPr>
          <w:p>
            <w:pPr>
              <w:spacing w:before="0" w:after="0"/>
            </w:pPr>
            <w:r>
              <w:rPr>
                <w:sz w:val="12"/>
              </w:rPr>
            </w:r>
            <w:r>
              <w:rPr>
                <w:b/>
                <w:sz w:val="12"/>
              </w:rPr>
              <w:t>Model and policy</w:t>
            </w:r>
          </w:p>
        </w:tc>
        <w:tc>
          <w:tcPr>
            <w:tcW w:type="dxa" w:w="2510"/>
            <w:vAlign w:val="top"/>
          </w:tcPr>
          <w:p>
            <w:pPr>
              <w:spacing w:before="0" w:after="0"/>
            </w:pPr>
            <w:r>
              <w:rPr>
                <w:sz w:val="12"/>
              </w:rPr>
            </w:r>
            <w:r>
              <w:rPr>
                <w:b/>
                <w:sz w:val="12"/>
              </w:rPr>
              <w:t>Val. P/R/S</w:t>
            </w:r>
          </w:p>
        </w:tc>
        <w:tc>
          <w:tcPr>
            <w:tcW w:type="dxa" w:w="2510"/>
            <w:vAlign w:val="top"/>
          </w:tcPr>
          <w:p>
            <w:pPr>
              <w:spacing w:before="0" w:after="0"/>
            </w:pPr>
            <w:r>
              <w:rPr>
                <w:sz w:val="12"/>
              </w:rPr>
            </w:r>
            <w:r>
              <w:rPr>
                <w:b/>
                <w:sz w:val="12"/>
              </w:rPr>
              <w:t>Val. PR/AUC/cost</w:t>
            </w:r>
          </w:p>
        </w:tc>
      </w:tr>
      <w:tr>
        <w:tc>
          <w:tcPr>
            <w:tcW w:type="dxa" w:w="2510"/>
            <w:vAlign w:val="top"/>
          </w:tcPr>
          <w:p>
            <w:pPr>
              <w:spacing w:before="0" w:after="0"/>
            </w:pPr>
            <w:r>
              <w:rPr>
                <w:sz w:val="12"/>
              </w:rPr>
            </w:r>
            <w:r>
              <w:rPr>
                <w:b w:val="0"/>
                <w:sz w:val="12"/>
              </w:rPr>
              <w:t>Taiwan / Manual-review</w:t>
            </w:r>
          </w:p>
        </w:tc>
        <w:tc>
          <w:tcPr>
            <w:tcW w:type="dxa" w:w="2510"/>
            <w:vAlign w:val="top"/>
          </w:tcPr>
          <w:p>
            <w:pPr>
              <w:spacing w:before="0" w:after="0"/>
            </w:pPr>
            <w:r>
              <w:rPr>
                <w:sz w:val="12"/>
              </w:rPr>
            </w:r>
            <w:r>
              <w:rPr>
                <w:b w:val="0"/>
                <w:sz w:val="12"/>
              </w:rPr>
              <w:t>Best CatBoost; [0.14, 0.28]</w:t>
            </w:r>
          </w:p>
        </w:tc>
        <w:tc>
          <w:tcPr>
            <w:tcW w:type="dxa" w:w="2510"/>
            <w:vAlign w:val="top"/>
          </w:tcPr>
          <w:p>
            <w:pPr>
              <w:spacing w:before="0" w:after="0"/>
            </w:pPr>
            <w:r>
              <w:rPr>
                <w:sz w:val="12"/>
              </w:rPr>
            </w:r>
            <w:r>
              <w:rPr>
                <w:b w:val="0"/>
                <w:sz w:val="12"/>
              </w:rPr>
              <w:t>P=0.529; R=0.567; S=0.857</w:t>
            </w:r>
          </w:p>
        </w:tc>
        <w:tc>
          <w:tcPr>
            <w:tcW w:type="dxa" w:w="2510"/>
            <w:vAlign w:val="top"/>
          </w:tcPr>
          <w:p>
            <w:pPr>
              <w:spacing w:before="0" w:after="0"/>
            </w:pPr>
            <w:r>
              <w:rPr>
                <w:sz w:val="12"/>
              </w:rPr>
            </w:r>
            <w:r>
              <w:rPr>
                <w:b w:val="0"/>
                <w:sz w:val="12"/>
              </w:rPr>
              <w:t>PR=0.560; AUC=0.786; cost=2650.5</w:t>
            </w:r>
          </w:p>
        </w:tc>
      </w:tr>
      <w:tr>
        <w:tc>
          <w:tcPr>
            <w:tcW w:type="dxa" w:w="2510"/>
            <w:vAlign w:val="top"/>
          </w:tcPr>
          <w:p>
            <w:pPr>
              <w:spacing w:before="0" w:after="0"/>
            </w:pPr>
            <w:r>
              <w:rPr>
                <w:sz w:val="12"/>
              </w:rPr>
            </w:r>
            <w:r>
              <w:rPr>
                <w:b w:val="0"/>
                <w:sz w:val="12"/>
              </w:rPr>
              <w:t>Taiwan / Binary threshold</w:t>
            </w:r>
          </w:p>
        </w:tc>
        <w:tc>
          <w:tcPr>
            <w:tcW w:type="dxa" w:w="2510"/>
            <w:vAlign w:val="top"/>
          </w:tcPr>
          <w:p>
            <w:pPr>
              <w:spacing w:before="0" w:after="0"/>
            </w:pPr>
            <w:r>
              <w:rPr>
                <w:sz w:val="12"/>
              </w:rPr>
            </w:r>
            <w:r>
              <w:rPr>
                <w:b w:val="0"/>
                <w:sz w:val="12"/>
              </w:rPr>
              <w:t>Old SCRE-Credit; t=0.20</w:t>
            </w:r>
          </w:p>
        </w:tc>
        <w:tc>
          <w:tcPr>
            <w:tcW w:type="dxa" w:w="2510"/>
            <w:vAlign w:val="top"/>
          </w:tcPr>
          <w:p>
            <w:pPr>
              <w:spacing w:before="0" w:after="0"/>
            </w:pPr>
            <w:r>
              <w:rPr>
                <w:sz w:val="12"/>
              </w:rPr>
            </w:r>
            <w:r>
              <w:rPr>
                <w:b w:val="0"/>
                <w:sz w:val="12"/>
              </w:rPr>
              <w:t>P=0.412; R=0.720; S=0.708</w:t>
            </w:r>
          </w:p>
        </w:tc>
        <w:tc>
          <w:tcPr>
            <w:tcW w:type="dxa" w:w="2510"/>
            <w:vAlign w:val="top"/>
          </w:tcPr>
          <w:p>
            <w:pPr>
              <w:spacing w:before="0" w:after="0"/>
            </w:pPr>
            <w:r>
              <w:rPr>
                <w:sz w:val="12"/>
              </w:rPr>
            </w:r>
            <w:r>
              <w:rPr>
                <w:b w:val="0"/>
                <w:sz w:val="12"/>
              </w:rPr>
              <w:t>PR=0.555; AUC=0.791; cost=3224.0</w:t>
            </w:r>
          </w:p>
        </w:tc>
      </w:tr>
      <w:tr>
        <w:tc>
          <w:tcPr>
            <w:tcW w:type="dxa" w:w="2510"/>
            <w:vAlign w:val="top"/>
          </w:tcPr>
          <w:p>
            <w:pPr>
              <w:spacing w:before="0" w:after="0"/>
            </w:pPr>
            <w:r>
              <w:rPr>
                <w:sz w:val="12"/>
              </w:rPr>
            </w:r>
            <w:r>
              <w:rPr>
                <w:b w:val="0"/>
                <w:sz w:val="12"/>
              </w:rPr>
              <w:t>Taiwan / SCRE framework</w:t>
            </w:r>
          </w:p>
        </w:tc>
        <w:tc>
          <w:tcPr>
            <w:tcW w:type="dxa" w:w="2510"/>
            <w:vAlign w:val="top"/>
          </w:tcPr>
          <w:p>
            <w:pPr>
              <w:spacing w:before="0" w:after="0"/>
            </w:pPr>
            <w:r>
              <w:rPr>
                <w:sz w:val="12"/>
              </w:rPr>
            </w:r>
            <w:r>
              <w:rPr>
                <w:b w:val="0"/>
                <w:sz w:val="12"/>
              </w:rPr>
              <w:t>SCRE-Pareto; [0.14, 0.25]</w:t>
            </w:r>
          </w:p>
        </w:tc>
        <w:tc>
          <w:tcPr>
            <w:tcW w:type="dxa" w:w="2510"/>
            <w:vAlign w:val="top"/>
          </w:tcPr>
          <w:p>
            <w:pPr>
              <w:spacing w:before="0" w:after="0"/>
            </w:pPr>
            <w:r>
              <w:rPr>
                <w:sz w:val="12"/>
              </w:rPr>
            </w:r>
            <w:r>
              <w:rPr>
                <w:b w:val="0"/>
                <w:sz w:val="12"/>
              </w:rPr>
              <w:t>P=0.509; R=0.584; S=0.840</w:t>
            </w:r>
          </w:p>
        </w:tc>
        <w:tc>
          <w:tcPr>
            <w:tcW w:type="dxa" w:w="2510"/>
            <w:vAlign w:val="top"/>
          </w:tcPr>
          <w:p>
            <w:pPr>
              <w:spacing w:before="0" w:after="0"/>
            </w:pPr>
            <w:r>
              <w:rPr>
                <w:sz w:val="12"/>
              </w:rPr>
            </w:r>
            <w:r>
              <w:rPr>
                <w:b w:val="0"/>
                <w:sz w:val="12"/>
              </w:rPr>
              <w:t>PR=0.562; AUC=0.789; cost=2651.5</w:t>
            </w:r>
          </w:p>
        </w:tc>
      </w:tr>
      <w:tr>
        <w:tc>
          <w:tcPr>
            <w:tcW w:type="dxa" w:w="2510"/>
            <w:vAlign w:val="top"/>
          </w:tcPr>
          <w:p>
            <w:pPr>
              <w:spacing w:before="0" w:after="0"/>
            </w:pPr>
            <w:r>
              <w:rPr>
                <w:sz w:val="12"/>
              </w:rPr>
            </w:r>
            <w:r>
              <w:rPr>
                <w:b w:val="0"/>
                <w:sz w:val="12"/>
              </w:rPr>
              <w:t>Taiwan / Interpretable</w:t>
            </w:r>
          </w:p>
        </w:tc>
        <w:tc>
          <w:tcPr>
            <w:tcW w:type="dxa" w:w="2510"/>
            <w:vAlign w:val="top"/>
          </w:tcPr>
          <w:p>
            <w:pPr>
              <w:spacing w:before="0" w:after="0"/>
            </w:pPr>
            <w:r>
              <w:rPr>
                <w:sz w:val="12"/>
              </w:rPr>
            </w:r>
            <w:r>
              <w:rPr>
                <w:b w:val="0"/>
                <w:sz w:val="12"/>
              </w:rPr>
              <w:t>Best Scorecard; [0.14, 0.19]</w:t>
            </w:r>
          </w:p>
        </w:tc>
        <w:tc>
          <w:tcPr>
            <w:tcW w:type="dxa" w:w="2510"/>
            <w:vAlign w:val="top"/>
          </w:tcPr>
          <w:p>
            <w:pPr>
              <w:spacing w:before="0" w:after="0"/>
            </w:pPr>
            <w:r>
              <w:rPr>
                <w:sz w:val="12"/>
              </w:rPr>
            </w:r>
            <w:r>
              <w:rPr>
                <w:b w:val="0"/>
                <w:sz w:val="12"/>
              </w:rPr>
              <w:t>P=0.433; R=0.662; S=0.754</w:t>
            </w:r>
          </w:p>
        </w:tc>
        <w:tc>
          <w:tcPr>
            <w:tcW w:type="dxa" w:w="2510"/>
            <w:vAlign w:val="top"/>
          </w:tcPr>
          <w:p>
            <w:pPr>
              <w:spacing w:before="0" w:after="0"/>
            </w:pPr>
            <w:r>
              <w:rPr>
                <w:sz w:val="12"/>
              </w:rPr>
            </w:r>
            <w:r>
              <w:rPr>
                <w:b w:val="0"/>
                <w:sz w:val="12"/>
              </w:rPr>
              <w:t>PR=0.532; AUC=0.773; cost=2993.5</w:t>
            </w:r>
          </w:p>
        </w:tc>
      </w:tr>
      <w:tr>
        <w:tc>
          <w:tcPr>
            <w:tcW w:type="dxa" w:w="2510"/>
            <w:vAlign w:val="top"/>
          </w:tcPr>
          <w:p>
            <w:pPr>
              <w:spacing w:before="0" w:after="0"/>
            </w:pPr>
            <w:r>
              <w:rPr>
                <w:sz w:val="12"/>
              </w:rPr>
            </w:r>
            <w:r>
              <w:rPr>
                <w:b w:val="0"/>
                <w:sz w:val="12"/>
              </w:rPr>
              <w:t>HELOC / Manual-review</w:t>
            </w:r>
          </w:p>
        </w:tc>
        <w:tc>
          <w:tcPr>
            <w:tcW w:type="dxa" w:w="2510"/>
            <w:vAlign w:val="top"/>
          </w:tcPr>
          <w:p>
            <w:pPr>
              <w:spacing w:before="0" w:after="0"/>
            </w:pPr>
            <w:r>
              <w:rPr>
                <w:sz w:val="12"/>
              </w:rPr>
            </w:r>
            <w:r>
              <w:rPr>
                <w:b w:val="0"/>
                <w:sz w:val="12"/>
              </w:rPr>
              <w:t>Best Scorecard; [0.16, 0.39]</w:t>
            </w:r>
          </w:p>
        </w:tc>
        <w:tc>
          <w:tcPr>
            <w:tcW w:type="dxa" w:w="2510"/>
            <w:vAlign w:val="top"/>
          </w:tcPr>
          <w:p>
            <w:pPr>
              <w:spacing w:before="0" w:after="0"/>
            </w:pPr>
            <w:r>
              <w:rPr>
                <w:sz w:val="12"/>
              </w:rPr>
            </w:r>
            <w:r>
              <w:rPr>
                <w:b w:val="0"/>
                <w:sz w:val="12"/>
              </w:rPr>
              <w:t>P=0.701; R=0.842; S=0.610</w:t>
            </w:r>
          </w:p>
        </w:tc>
        <w:tc>
          <w:tcPr>
            <w:tcW w:type="dxa" w:w="2510"/>
            <w:vAlign w:val="top"/>
          </w:tcPr>
          <w:p>
            <w:pPr>
              <w:spacing w:before="0" w:after="0"/>
            </w:pPr>
            <w:r>
              <w:rPr>
                <w:sz w:val="12"/>
              </w:rPr>
            </w:r>
            <w:r>
              <w:rPr>
                <w:b w:val="0"/>
                <w:sz w:val="12"/>
              </w:rPr>
              <w:t>PR=0.795; AUC=0.803; cost=729.0</w:t>
            </w:r>
          </w:p>
        </w:tc>
      </w:tr>
      <w:tr>
        <w:tc>
          <w:tcPr>
            <w:tcW w:type="dxa" w:w="2510"/>
            <w:vAlign w:val="top"/>
          </w:tcPr>
          <w:p>
            <w:pPr>
              <w:spacing w:before="0" w:after="0"/>
            </w:pPr>
            <w:r>
              <w:rPr>
                <w:sz w:val="12"/>
              </w:rPr>
            </w:r>
            <w:r>
              <w:rPr>
                <w:b w:val="0"/>
                <w:sz w:val="12"/>
              </w:rPr>
              <w:t>HELOC / Binary threshold</w:t>
            </w:r>
          </w:p>
        </w:tc>
        <w:tc>
          <w:tcPr>
            <w:tcW w:type="dxa" w:w="2510"/>
            <w:vAlign w:val="top"/>
          </w:tcPr>
          <w:p>
            <w:pPr>
              <w:spacing w:before="0" w:after="0"/>
            </w:pPr>
            <w:r>
              <w:rPr>
                <w:sz w:val="12"/>
              </w:rPr>
            </w:r>
            <w:r>
              <w:rPr>
                <w:b w:val="0"/>
                <w:sz w:val="12"/>
              </w:rPr>
              <w:t>SCRE-Optimized; t=0.22</w:t>
            </w:r>
          </w:p>
        </w:tc>
        <w:tc>
          <w:tcPr>
            <w:tcW w:type="dxa" w:w="2510"/>
            <w:vAlign w:val="top"/>
          </w:tcPr>
          <w:p>
            <w:pPr>
              <w:spacing w:before="0" w:after="0"/>
            </w:pPr>
            <w:r>
              <w:rPr>
                <w:sz w:val="12"/>
              </w:rPr>
            </w:r>
            <w:r>
              <w:rPr>
                <w:b w:val="0"/>
                <w:sz w:val="12"/>
              </w:rPr>
              <w:t>P=0.569; R=0.982; S=0.194</w:t>
            </w:r>
          </w:p>
        </w:tc>
        <w:tc>
          <w:tcPr>
            <w:tcW w:type="dxa" w:w="2510"/>
            <w:vAlign w:val="top"/>
          </w:tcPr>
          <w:p>
            <w:pPr>
              <w:spacing w:before="0" w:after="0"/>
            </w:pPr>
            <w:r>
              <w:rPr>
                <w:sz w:val="12"/>
              </w:rPr>
            </w:r>
            <w:r>
              <w:rPr>
                <w:b w:val="0"/>
                <w:sz w:val="12"/>
              </w:rPr>
              <w:t>PR=0.806; AUC=0.808; cost=853.0</w:t>
            </w:r>
          </w:p>
        </w:tc>
      </w:tr>
      <w:tr>
        <w:tc>
          <w:tcPr>
            <w:tcW w:type="dxa" w:w="2510"/>
            <w:vAlign w:val="top"/>
          </w:tcPr>
          <w:p>
            <w:pPr>
              <w:spacing w:before="0" w:after="0"/>
            </w:pPr>
            <w:r>
              <w:rPr>
                <w:sz w:val="12"/>
              </w:rPr>
            </w:r>
            <w:r>
              <w:rPr>
                <w:b w:val="0"/>
                <w:sz w:val="12"/>
              </w:rPr>
              <w:t>HELOC / SCRE framework</w:t>
            </w:r>
          </w:p>
        </w:tc>
        <w:tc>
          <w:tcPr>
            <w:tcW w:type="dxa" w:w="2510"/>
            <w:vAlign w:val="top"/>
          </w:tcPr>
          <w:p>
            <w:pPr>
              <w:spacing w:before="0" w:after="0"/>
            </w:pPr>
            <w:r>
              <w:rPr>
                <w:sz w:val="12"/>
              </w:rPr>
            </w:r>
            <w:r>
              <w:rPr>
                <w:b w:val="0"/>
                <w:sz w:val="12"/>
              </w:rPr>
              <w:t>SCRE-Optimized; [0.22, 0.43]</w:t>
            </w:r>
          </w:p>
        </w:tc>
        <w:tc>
          <w:tcPr>
            <w:tcW w:type="dxa" w:w="2510"/>
            <w:vAlign w:val="top"/>
          </w:tcPr>
          <w:p>
            <w:pPr>
              <w:spacing w:before="0" w:after="0"/>
            </w:pPr>
            <w:r>
              <w:rPr>
                <w:sz w:val="12"/>
              </w:rPr>
            </w:r>
            <w:r>
              <w:rPr>
                <w:b w:val="0"/>
                <w:sz w:val="12"/>
              </w:rPr>
              <w:t>P=0.702; R=0.823; S=0.622</w:t>
            </w:r>
          </w:p>
        </w:tc>
        <w:tc>
          <w:tcPr>
            <w:tcW w:type="dxa" w:w="2510"/>
            <w:vAlign w:val="top"/>
          </w:tcPr>
          <w:p>
            <w:pPr>
              <w:spacing w:before="0" w:after="0"/>
            </w:pPr>
            <w:r>
              <w:rPr>
                <w:sz w:val="12"/>
              </w:rPr>
            </w:r>
            <w:r>
              <w:rPr>
                <w:b w:val="0"/>
                <w:sz w:val="12"/>
              </w:rPr>
              <w:t>PR=0.806; AUC=0.808; cost=732.5</w:t>
            </w:r>
          </w:p>
        </w:tc>
      </w:tr>
      <w:tr>
        <w:tc>
          <w:tcPr>
            <w:tcW w:type="dxa" w:w="2510"/>
            <w:vAlign w:val="top"/>
          </w:tcPr>
          <w:p>
            <w:pPr>
              <w:spacing w:before="0" w:after="0"/>
            </w:pPr>
            <w:r>
              <w:rPr>
                <w:sz w:val="12"/>
              </w:rPr>
            </w:r>
            <w:r>
              <w:rPr>
                <w:b w:val="0"/>
                <w:sz w:val="12"/>
              </w:rPr>
              <w:t>HELOC / Interpretable</w:t>
            </w:r>
          </w:p>
        </w:tc>
        <w:tc>
          <w:tcPr>
            <w:tcW w:type="dxa" w:w="2510"/>
            <w:vAlign w:val="top"/>
          </w:tcPr>
          <w:p>
            <w:pPr>
              <w:spacing w:before="0" w:after="0"/>
            </w:pPr>
            <w:r>
              <w:rPr>
                <w:sz w:val="12"/>
              </w:rPr>
            </w:r>
            <w:r>
              <w:rPr>
                <w:b w:val="0"/>
                <w:sz w:val="12"/>
              </w:rPr>
              <w:t>Best Scorecard; [0.16, 0.39]</w:t>
            </w:r>
          </w:p>
        </w:tc>
        <w:tc>
          <w:tcPr>
            <w:tcW w:type="dxa" w:w="2510"/>
            <w:vAlign w:val="top"/>
          </w:tcPr>
          <w:p>
            <w:pPr>
              <w:spacing w:before="0" w:after="0"/>
            </w:pPr>
            <w:r>
              <w:rPr>
                <w:sz w:val="12"/>
              </w:rPr>
            </w:r>
            <w:r>
              <w:rPr>
                <w:b w:val="0"/>
                <w:sz w:val="12"/>
              </w:rPr>
              <w:t>P=0.701; R=0.842; S=0.610</w:t>
            </w:r>
          </w:p>
        </w:tc>
        <w:tc>
          <w:tcPr>
            <w:tcW w:type="dxa" w:w="2510"/>
            <w:vAlign w:val="top"/>
          </w:tcPr>
          <w:p>
            <w:pPr>
              <w:spacing w:before="0" w:after="0"/>
            </w:pPr>
            <w:r>
              <w:rPr>
                <w:sz w:val="12"/>
              </w:rPr>
            </w:r>
            <w:r>
              <w:rPr>
                <w:b w:val="0"/>
                <w:sz w:val="12"/>
              </w:rPr>
              <w:t>PR=0.795; AUC=0.803; cost=729.0</w:t>
            </w:r>
          </w:p>
        </w:tc>
      </w:tr>
    </w:tbl>
    <w:p w14:paraId="7231F3A2" w14:textId="77777777" w:rsidR="005C7A72" w:rsidRDefault="005C7A72">
      <w:pPr>
        <w:pStyle w:val="PARA"/>
      </w:pPr>
    </w:p>
    <w:p w14:paraId="015C7615" w14:textId="77777777" w:rsidR="005C7A72" w:rsidRDefault="009A2A24">
      <w:pPr>
        <w:pStyle w:val="PARA"/>
      </w:pPr>
      <w:r>
        <w:t>Table VI is the validation-only selection table. Taiwan's final manual-review policy is Best CatBoost with lower threshold 0.14 and upper threshold 0.28. HELOC's final manual-review policy is Best Scorecard with lower threshold 0.16 and upper threshold 0.39. Scores below the lower threshold are treated as low risk, scores above the upper threshold are treated as high risk, and scores between them go to human review. SCRE variants remain important research-framework candidates, especially for PR-AUC and review ranking, but they are not claimed as universal operational winners.</w:t>
      </w:r>
    </w:p>
    <w:p w14:paraId="532AAA37" w14:textId="77777777" w:rsidR="005C7A72" w:rsidRDefault="009A2A24">
      <w:pPr>
        <w:pStyle w:val="PARA"/>
        <w:keepNext/>
        <w:spacing w:before="100"/>
      </w:pPr>
      <w:r>
        <w:t>B. Diagnostic threshold-only held-out comparisons</w:t>
      </w:r>
    </w:p>
    <w:p>
      <w:pPr>
        <w:pStyle w:val="PARA"/>
      </w:pPr>
      <w:r>
        <w:t>Tables VII and VIII are diagnostic threshold-only held-out comparisons. They were not used to select the final operational policy. The final selected manual-review policies are reported separately in Table IX.</w:t>
      </w:r>
    </w:p>
    <w:p w14:paraId="26D0EEBA" w14:textId="77777777" w:rsidR="005C7A72" w:rsidRDefault="009A2A24">
      <w:pPr>
        <w:keepNext/>
        <w:spacing w:before="60" w:after="20"/>
        <w:jc w:val="center"/>
      </w:pPr>
      <w:r>
        <w:drawing>
          <wp:inline xmlns:a="http://schemas.openxmlformats.org/drawingml/2006/main" xmlns:pic="http://schemas.openxmlformats.org/drawingml/2006/picture">
            <wp:extent cx="3063240" cy="2501646"/>
            <wp:docPr id="8" name="Picture 8"/>
            <wp:cNvGraphicFramePr>
              <a:graphicFrameLocks noChangeAspect="1"/>
            </wp:cNvGraphicFramePr>
            <a:graphic>
              <a:graphicData uri="http://schemas.openxmlformats.org/drawingml/2006/picture">
                <pic:pic>
                  <pic:nvPicPr>
                    <pic:cNvPr id="0" name="fig2_diagnostic_threshold_cost_submission.png"/>
                    <pic:cNvPicPr/>
                  </pic:nvPicPr>
                  <pic:blipFill>
                    <a:blip r:embed="rId25"/>
                    <a:stretch>
                      <a:fillRect/>
                    </a:stretch>
                  </pic:blipFill>
                  <pic:spPr>
                    <a:xfrm>
                      <a:off x="0" y="0"/>
                      <a:ext cx="3063240" cy="2501646"/>
                    </a:xfrm>
                    <a:prstGeom prst="rect"/>
                  </pic:spPr>
                </pic:pic>
              </a:graphicData>
            </a:graphic>
          </wp:inline>
        </w:drawing>
      </w:r>
    </w:p>
    <w:p w14:paraId="38632658" w14:textId="77777777" w:rsidR="005C7A72" w:rsidRDefault="009A2A24">
      <w:pPr>
        <w:pStyle w:val="FigCaption"/>
        <w:keepLines/>
        <w:jc w:val="center"/>
      </w:pPr>
      <w:r>
        <w:t>FIGURE 2. Diagnostic threshold-only expected cost comparison for representative held-out candidates. Lower cost is better. These values are held-out diagnostic evidence only and were not used as model-selection ranks.</w:t>
      </w:r>
    </w:p>
    <w:p w14:paraId="4EC2D077" w14:textId="77777777" w:rsidR="005C7A72" w:rsidRDefault="009A2A24">
      <w:pPr>
        <w:pStyle w:val="TableTitle"/>
        <w:keepNext/>
      </w:pPr>
      <w:r>
        <w:t>TABLE VII</w:t>
      </w:r>
    </w:p>
    <w:p w14:paraId="22C43E8C" w14:textId="77777777" w:rsidR="005C7A72" w:rsidRDefault="009A2A24">
      <w:pPr>
        <w:pStyle w:val="TableTitle"/>
        <w:keepNext/>
      </w:pPr>
      <w:r>
        <w:t>TAIWAN DIAGNOSTIC THRESHOLD-ONLY HELD-OUT COMPARISON</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1412"/>
        <w:gridCol w:w="1238"/>
        <w:gridCol w:w="1238"/>
        <w:gridCol w:w="1080"/>
      </w:tblGrid>
      <w:tr w:rsidR="005C7A72" w14:paraId="20CBBC53" w14:textId="77777777">
        <w:trPr>
          <w:cantSplit/>
          <w:tblHeader/>
          <w:jc w:val="center"/>
        </w:trPr>
        <w:tc>
          <w:tcPr>
            <w:tcW w:w="1411" w:type="dxa"/>
            <w:shd w:val="clear" w:color="auto" w:fill="E9EEF7"/>
            <w:tcMar>
              <w:top w:w="48" w:type="dxa"/>
              <w:left w:w="48" w:type="dxa"/>
              <w:bottom w:w="48" w:type="dxa"/>
              <w:right w:w="48" w:type="dxa"/>
            </w:tcMar>
            <w:vAlign w:val="top"/>
          </w:tcPr>
          <w:p w14:paraId="5DA0481D" w14:textId="77777777" w:rsidR="005C7A72" w:rsidRDefault="009A2A24">
            <w:pPr>
              <w:spacing w:before="0" w:after="0"/>
            </w:pPr>
            <w:r>
              <w:rPr>
                <w:b/>
                <w:sz w:val="12"/>
              </w:rPr>
              <w:t>Model</w:t>
            </w:r>
          </w:p>
        </w:tc>
        <w:tc>
          <w:tcPr>
            <w:tcW w:w="1238" w:type="dxa"/>
            <w:shd w:val="clear" w:color="auto" w:fill="E9EEF7"/>
            <w:tcMar>
              <w:top w:w="48" w:type="dxa"/>
              <w:left w:w="48" w:type="dxa"/>
              <w:bottom w:w="48" w:type="dxa"/>
              <w:right w:w="48" w:type="dxa"/>
            </w:tcMar>
            <w:vAlign w:val="top"/>
          </w:tcPr>
          <w:p w14:paraId="68FB76C5" w14:textId="77777777" w:rsidR="005C7A72" w:rsidRDefault="009A2A24">
            <w:pPr>
              <w:spacing w:before="0" w:after="0"/>
            </w:pPr>
            <w:r>
              <w:rPr>
                <w:b/>
                <w:sz w:val="12"/>
              </w:rPr>
              <w:t>P/R/S</w:t>
            </w:r>
          </w:p>
        </w:tc>
        <w:tc>
          <w:tcPr>
            <w:tcW w:w="1238" w:type="dxa"/>
            <w:shd w:val="clear" w:color="auto" w:fill="E9EEF7"/>
            <w:tcMar>
              <w:top w:w="48" w:type="dxa"/>
              <w:left w:w="48" w:type="dxa"/>
              <w:bottom w:w="48" w:type="dxa"/>
              <w:right w:w="48" w:type="dxa"/>
            </w:tcMar>
            <w:vAlign w:val="top"/>
          </w:tcPr>
          <w:p w14:paraId="12085589" w14:textId="77777777" w:rsidR="005C7A72" w:rsidRDefault="009A2A24">
            <w:pPr>
              <w:spacing w:before="0" w:after="0"/>
            </w:pPr>
            <w:r>
              <w:rPr>
                <w:b/>
                <w:sz w:val="12"/>
              </w:rPr>
              <w:t>ROC/PR/ECE</w:t>
            </w:r>
          </w:p>
        </w:tc>
        <w:tc>
          <w:tcPr>
            <w:tcW w:w="1080" w:type="dxa"/>
            <w:shd w:val="clear" w:color="auto" w:fill="E9EEF7"/>
            <w:tcMar>
              <w:top w:w="48" w:type="dxa"/>
              <w:left w:w="48" w:type="dxa"/>
              <w:bottom w:w="48" w:type="dxa"/>
              <w:right w:w="48" w:type="dxa"/>
            </w:tcMar>
            <w:vAlign w:val="top"/>
          </w:tcPr>
          <w:p>
            <w:pPr>
              <w:spacing w:before="0" w:after="0"/>
            </w:pPr>
            <w:r>
              <w:rPr>
                <w:b/>
                <w:sz w:val="12"/>
              </w:rPr>
              <w:t>Diagnostic cost</w:t>
            </w:r>
          </w:p>
        </w:tc>
      </w:tr>
      <w:tr w:rsidR="005C7A72" w14:paraId="2547D02E" w14:textId="77777777">
        <w:trPr>
          <w:cantSplit/>
          <w:jc w:val="center"/>
        </w:trPr>
        <w:tc>
          <w:tcPr>
            <w:tcW w:w="1411" w:type="dxa"/>
            <w:tcMar>
              <w:top w:w="48" w:type="dxa"/>
              <w:left w:w="48" w:type="dxa"/>
              <w:bottom w:w="48" w:type="dxa"/>
              <w:right w:w="48" w:type="dxa"/>
            </w:tcMar>
            <w:vAlign w:val="top"/>
          </w:tcPr>
          <w:p w14:paraId="43048FEC" w14:textId="77777777" w:rsidR="005C7A72" w:rsidRDefault="009A2A24">
            <w:pPr>
              <w:spacing w:before="0" w:after="0"/>
            </w:pPr>
            <w:r>
              <w:rPr>
                <w:sz w:val="12"/>
              </w:rPr>
              <w:t>Best CatBoost</w:t>
            </w:r>
          </w:p>
        </w:tc>
        <w:tc>
          <w:tcPr>
            <w:tcW w:w="1238" w:type="dxa"/>
            <w:tcMar>
              <w:top w:w="48" w:type="dxa"/>
              <w:left w:w="48" w:type="dxa"/>
              <w:bottom w:w="48" w:type="dxa"/>
              <w:right w:w="48" w:type="dxa"/>
            </w:tcMar>
            <w:vAlign w:val="top"/>
          </w:tcPr>
          <w:p w14:paraId="21122D6C" w14:textId="77777777" w:rsidR="005C7A72" w:rsidRDefault="009A2A24">
            <w:pPr>
              <w:spacing w:before="0" w:after="0"/>
            </w:pPr>
            <w:r>
              <w:rPr>
                <w:sz w:val="12"/>
              </w:rPr>
              <w:t>P=0.351; R=0.809; S=0.576</w:t>
            </w:r>
          </w:p>
        </w:tc>
        <w:tc>
          <w:tcPr>
            <w:tcW w:w="1238" w:type="dxa"/>
            <w:tcMar>
              <w:top w:w="48" w:type="dxa"/>
              <w:left w:w="48" w:type="dxa"/>
              <w:bottom w:w="48" w:type="dxa"/>
              <w:right w:w="48" w:type="dxa"/>
            </w:tcMar>
            <w:vAlign w:val="top"/>
          </w:tcPr>
          <w:p w14:paraId="51655629" w14:textId="77777777" w:rsidR="005C7A72" w:rsidRDefault="009A2A24">
            <w:pPr>
              <w:spacing w:before="0" w:after="0"/>
            </w:pPr>
            <w:r>
              <w:rPr>
                <w:sz w:val="12"/>
              </w:rPr>
              <w:t>ROC=0.785; PR=0.564; ECE=0.008</w:t>
            </w:r>
          </w:p>
        </w:tc>
        <w:tc>
          <w:tcPr>
            <w:tcW w:w="1080" w:type="dxa"/>
            <w:tcMar>
              <w:top w:w="48" w:type="dxa"/>
              <w:left w:w="48" w:type="dxa"/>
              <w:bottom w:w="48" w:type="dxa"/>
              <w:right w:w="48" w:type="dxa"/>
            </w:tcMar>
            <w:vAlign w:val="top"/>
          </w:tcPr>
          <w:p>
            <w:pPr>
              <w:spacing w:before="0" w:after="0"/>
            </w:pPr>
            <w:r>
              <w:rPr>
                <w:sz w:val="12"/>
              </w:rPr>
              <w:t>cost=3247</w:t>
            </w:r>
          </w:p>
        </w:tc>
      </w:tr>
      <w:tr w:rsidR="005C7A72" w14:paraId="4648AF31" w14:textId="77777777">
        <w:trPr>
          <w:cantSplit/>
          <w:jc w:val="center"/>
        </w:trPr>
        <w:tc>
          <w:tcPr>
            <w:tcW w:w="1411" w:type="dxa"/>
            <w:tcMar>
              <w:top w:w="48" w:type="dxa"/>
              <w:left w:w="48" w:type="dxa"/>
              <w:bottom w:w="48" w:type="dxa"/>
              <w:right w:w="48" w:type="dxa"/>
            </w:tcMar>
            <w:vAlign w:val="top"/>
          </w:tcPr>
          <w:p w14:paraId="4F0A2DBB" w14:textId="77777777" w:rsidR="005C7A72" w:rsidRDefault="009A2A24">
            <w:pPr>
              <w:spacing w:before="0" w:after="0"/>
            </w:pPr>
            <w:r>
              <w:rPr>
                <w:sz w:val="12"/>
              </w:rPr>
              <w:t>Best Monotonic model</w:t>
            </w:r>
          </w:p>
        </w:tc>
        <w:tc>
          <w:tcPr>
            <w:tcW w:w="1238" w:type="dxa"/>
            <w:tcMar>
              <w:top w:w="48" w:type="dxa"/>
              <w:left w:w="48" w:type="dxa"/>
              <w:bottom w:w="48" w:type="dxa"/>
              <w:right w:w="48" w:type="dxa"/>
            </w:tcMar>
            <w:vAlign w:val="top"/>
          </w:tcPr>
          <w:p w14:paraId="5489418A" w14:textId="77777777" w:rsidR="005C7A72" w:rsidRDefault="009A2A24">
            <w:pPr>
              <w:spacing w:before="0" w:after="0"/>
            </w:pPr>
            <w:r>
              <w:rPr>
                <w:sz w:val="12"/>
              </w:rPr>
              <w:t xml:space="preserve">P=0.351; </w:t>
            </w:r>
            <w:r>
              <w:rPr>
                <w:sz w:val="12"/>
              </w:rPr>
              <w:t>R=0.803; S=0.578</w:t>
            </w:r>
          </w:p>
        </w:tc>
        <w:tc>
          <w:tcPr>
            <w:tcW w:w="1238" w:type="dxa"/>
            <w:tcMar>
              <w:top w:w="48" w:type="dxa"/>
              <w:left w:w="48" w:type="dxa"/>
              <w:bottom w:w="48" w:type="dxa"/>
              <w:right w:w="48" w:type="dxa"/>
            </w:tcMar>
            <w:vAlign w:val="top"/>
          </w:tcPr>
          <w:p w14:paraId="30A42679" w14:textId="77777777" w:rsidR="005C7A72" w:rsidRDefault="009A2A24">
            <w:pPr>
              <w:spacing w:before="0" w:after="0"/>
            </w:pPr>
            <w:r>
              <w:rPr>
                <w:sz w:val="12"/>
              </w:rPr>
              <w:t>ROC=0.781; PR=0.557; ECE=0.010</w:t>
            </w:r>
          </w:p>
        </w:tc>
        <w:tc>
          <w:tcPr>
            <w:tcW w:w="1080" w:type="dxa"/>
            <w:tcMar>
              <w:top w:w="48" w:type="dxa"/>
              <w:left w:w="48" w:type="dxa"/>
              <w:bottom w:w="48" w:type="dxa"/>
              <w:right w:w="48" w:type="dxa"/>
            </w:tcMar>
            <w:vAlign w:val="top"/>
          </w:tcPr>
          <w:p>
            <w:pPr>
              <w:spacing w:before="0" w:after="0"/>
            </w:pPr>
            <w:r>
              <w:rPr>
                <w:sz w:val="12"/>
              </w:rPr>
              <w:t>cost=3280</w:t>
            </w:r>
          </w:p>
        </w:tc>
      </w:tr>
      <w:tr w:rsidR="005C7A72" w14:paraId="27CFF956" w14:textId="77777777">
        <w:trPr>
          <w:cantSplit/>
          <w:jc w:val="center"/>
        </w:trPr>
        <w:tc>
          <w:tcPr>
            <w:tcW w:w="1411" w:type="dxa"/>
            <w:tcMar>
              <w:top w:w="48" w:type="dxa"/>
              <w:left w:w="48" w:type="dxa"/>
              <w:bottom w:w="48" w:type="dxa"/>
              <w:right w:w="48" w:type="dxa"/>
            </w:tcMar>
            <w:vAlign w:val="top"/>
          </w:tcPr>
          <w:p w14:paraId="6D75C084" w14:textId="77777777" w:rsidR="005C7A72" w:rsidRDefault="009A2A24">
            <w:pPr>
              <w:spacing w:before="0" w:after="0"/>
            </w:pPr>
            <w:r>
              <w:rPr>
                <w:sz w:val="12"/>
              </w:rPr>
              <w:t>Best XGBoost</w:t>
            </w:r>
          </w:p>
        </w:tc>
        <w:tc>
          <w:tcPr>
            <w:tcW w:w="1238" w:type="dxa"/>
            <w:tcMar>
              <w:top w:w="48" w:type="dxa"/>
              <w:left w:w="48" w:type="dxa"/>
              <w:bottom w:w="48" w:type="dxa"/>
              <w:right w:w="48" w:type="dxa"/>
            </w:tcMar>
            <w:vAlign w:val="top"/>
          </w:tcPr>
          <w:p w14:paraId="5967805D" w14:textId="77777777" w:rsidR="005C7A72" w:rsidRDefault="009A2A24">
            <w:pPr>
              <w:spacing w:before="0" w:after="0"/>
            </w:pPr>
            <w:r>
              <w:rPr>
                <w:sz w:val="12"/>
              </w:rPr>
              <w:t>P=0.336; R=0.836; S=0.530</w:t>
            </w:r>
          </w:p>
        </w:tc>
        <w:tc>
          <w:tcPr>
            <w:tcW w:w="1238" w:type="dxa"/>
            <w:tcMar>
              <w:top w:w="48" w:type="dxa"/>
              <w:left w:w="48" w:type="dxa"/>
              <w:bottom w:w="48" w:type="dxa"/>
              <w:right w:w="48" w:type="dxa"/>
            </w:tcMar>
            <w:vAlign w:val="top"/>
          </w:tcPr>
          <w:p w14:paraId="72B445BA" w14:textId="77777777" w:rsidR="005C7A72" w:rsidRDefault="009A2A24">
            <w:pPr>
              <w:spacing w:before="0" w:after="0"/>
            </w:pPr>
            <w:r>
              <w:rPr>
                <w:sz w:val="12"/>
              </w:rPr>
              <w:t>ROC=0.783; PR=0.562; ECE=0.010</w:t>
            </w:r>
          </w:p>
        </w:tc>
        <w:tc>
          <w:tcPr>
            <w:tcW w:w="1080" w:type="dxa"/>
            <w:tcMar>
              <w:top w:w="48" w:type="dxa"/>
              <w:left w:w="48" w:type="dxa"/>
              <w:bottom w:w="48" w:type="dxa"/>
              <w:right w:w="48" w:type="dxa"/>
            </w:tcMar>
            <w:vAlign w:val="top"/>
          </w:tcPr>
          <w:p>
            <w:pPr>
              <w:spacing w:before="0" w:after="0"/>
            </w:pPr>
            <w:r>
              <w:rPr>
                <w:sz w:val="12"/>
              </w:rPr>
              <w:t>cost=3283</w:t>
            </w:r>
          </w:p>
        </w:tc>
      </w:tr>
      <w:tr w:rsidR="005C7A72" w14:paraId="1556673C" w14:textId="77777777">
        <w:trPr>
          <w:cantSplit/>
          <w:jc w:val="center"/>
        </w:trPr>
        <w:tc>
          <w:tcPr>
            <w:tcW w:w="1411" w:type="dxa"/>
            <w:tcMar>
              <w:top w:w="48" w:type="dxa"/>
              <w:left w:w="48" w:type="dxa"/>
              <w:bottom w:w="48" w:type="dxa"/>
              <w:right w:w="48" w:type="dxa"/>
            </w:tcMar>
            <w:vAlign w:val="top"/>
          </w:tcPr>
          <w:p w14:paraId="709D20EC" w14:textId="77777777" w:rsidR="005C7A72" w:rsidRDefault="009A2A24">
            <w:pPr>
              <w:spacing w:before="0" w:after="0"/>
            </w:pPr>
            <w:r>
              <w:rPr>
                <w:sz w:val="12"/>
              </w:rPr>
              <w:t>SCRE-Pareto</w:t>
            </w:r>
          </w:p>
        </w:tc>
        <w:tc>
          <w:tcPr>
            <w:tcW w:w="1238" w:type="dxa"/>
            <w:tcMar>
              <w:top w:w="48" w:type="dxa"/>
              <w:left w:w="48" w:type="dxa"/>
              <w:bottom w:w="48" w:type="dxa"/>
              <w:right w:w="48" w:type="dxa"/>
            </w:tcMar>
            <w:vAlign w:val="top"/>
          </w:tcPr>
          <w:p w14:paraId="5704DEEA" w14:textId="77777777" w:rsidR="005C7A72" w:rsidRDefault="009A2A24">
            <w:pPr>
              <w:spacing w:before="0" w:after="0"/>
            </w:pPr>
            <w:r>
              <w:rPr>
                <w:sz w:val="12"/>
              </w:rPr>
              <w:t>P=0.360; R=0.778; S=0.607</w:t>
            </w:r>
          </w:p>
        </w:tc>
        <w:tc>
          <w:tcPr>
            <w:tcW w:w="1238" w:type="dxa"/>
            <w:tcMar>
              <w:top w:w="48" w:type="dxa"/>
              <w:left w:w="48" w:type="dxa"/>
              <w:bottom w:w="48" w:type="dxa"/>
              <w:right w:w="48" w:type="dxa"/>
            </w:tcMar>
            <w:vAlign w:val="top"/>
          </w:tcPr>
          <w:p w14:paraId="70E8A779" w14:textId="77777777" w:rsidR="005C7A72" w:rsidRDefault="009A2A24">
            <w:pPr>
              <w:spacing w:before="0" w:after="0"/>
            </w:pPr>
            <w:r>
              <w:rPr>
                <w:sz w:val="12"/>
              </w:rPr>
              <w:t>ROC=0.784; PR=0.566; ECE=0.011</w:t>
            </w:r>
          </w:p>
        </w:tc>
        <w:tc>
          <w:tcPr>
            <w:tcW w:w="1080" w:type="dxa"/>
            <w:tcMar>
              <w:top w:w="48" w:type="dxa"/>
              <w:left w:w="48" w:type="dxa"/>
              <w:bottom w:w="48" w:type="dxa"/>
              <w:right w:w="48" w:type="dxa"/>
            </w:tcMar>
            <w:vAlign w:val="top"/>
          </w:tcPr>
          <w:p>
            <w:pPr>
              <w:spacing w:before="0" w:after="0"/>
            </w:pPr>
            <w:r>
              <w:rPr>
                <w:sz w:val="12"/>
              </w:rPr>
              <w:t>cost=3307</w:t>
            </w:r>
          </w:p>
        </w:tc>
      </w:tr>
      <w:tr w:rsidR="005C7A72" w14:paraId="1BB504FD" w14:textId="77777777">
        <w:trPr>
          <w:cantSplit/>
          <w:jc w:val="center"/>
        </w:trPr>
        <w:tc>
          <w:tcPr>
            <w:tcW w:w="1411" w:type="dxa"/>
            <w:tcMar>
              <w:top w:w="48" w:type="dxa"/>
              <w:left w:w="48" w:type="dxa"/>
              <w:bottom w:w="48" w:type="dxa"/>
              <w:right w:w="48" w:type="dxa"/>
            </w:tcMar>
            <w:vAlign w:val="top"/>
          </w:tcPr>
          <w:p w14:paraId="2EC33513" w14:textId="77777777" w:rsidR="005C7A72" w:rsidRDefault="009A2A24">
            <w:pPr>
              <w:spacing w:before="0" w:after="0"/>
            </w:pPr>
            <w:r>
              <w:rPr>
                <w:sz w:val="12"/>
              </w:rPr>
              <w:t>SCRE-Optimized</w:t>
            </w:r>
          </w:p>
        </w:tc>
        <w:tc>
          <w:tcPr>
            <w:tcW w:w="1238" w:type="dxa"/>
            <w:tcMar>
              <w:top w:w="48" w:type="dxa"/>
              <w:left w:w="48" w:type="dxa"/>
              <w:bottom w:w="48" w:type="dxa"/>
              <w:right w:w="48" w:type="dxa"/>
            </w:tcMar>
            <w:vAlign w:val="top"/>
          </w:tcPr>
          <w:p w14:paraId="11D7F04C" w14:textId="77777777" w:rsidR="005C7A72" w:rsidRDefault="009A2A24">
            <w:pPr>
              <w:spacing w:before="0" w:after="0"/>
            </w:pPr>
            <w:r>
              <w:rPr>
                <w:sz w:val="12"/>
              </w:rPr>
              <w:t>P=0.360; R=0.777; S=0.608</w:t>
            </w:r>
          </w:p>
        </w:tc>
        <w:tc>
          <w:tcPr>
            <w:tcW w:w="1238" w:type="dxa"/>
            <w:tcMar>
              <w:top w:w="48" w:type="dxa"/>
              <w:left w:w="48" w:type="dxa"/>
              <w:bottom w:w="48" w:type="dxa"/>
              <w:right w:w="48" w:type="dxa"/>
            </w:tcMar>
            <w:vAlign w:val="top"/>
          </w:tcPr>
          <w:p w14:paraId="242A57A5" w14:textId="77777777" w:rsidR="005C7A72" w:rsidRDefault="009A2A24">
            <w:pPr>
              <w:spacing w:before="0" w:after="0"/>
            </w:pPr>
            <w:r>
              <w:rPr>
                <w:sz w:val="12"/>
              </w:rPr>
              <w:t>ROC=0.785; PR=0.567; ECE=0.011</w:t>
            </w:r>
          </w:p>
        </w:tc>
        <w:tc>
          <w:tcPr>
            <w:tcW w:w="1080" w:type="dxa"/>
            <w:tcMar>
              <w:top w:w="48" w:type="dxa"/>
              <w:left w:w="48" w:type="dxa"/>
              <w:bottom w:w="48" w:type="dxa"/>
              <w:right w:w="48" w:type="dxa"/>
            </w:tcMar>
            <w:vAlign w:val="top"/>
          </w:tcPr>
          <w:p>
            <w:pPr>
              <w:spacing w:before="0" w:after="0"/>
            </w:pPr>
            <w:r>
              <w:rPr>
                <w:sz w:val="12"/>
              </w:rPr>
              <w:t>cost=3312</w:t>
            </w:r>
          </w:p>
        </w:tc>
      </w:tr>
      <w:tr w:rsidR="005C7A72" w14:paraId="3AE01438" w14:textId="77777777">
        <w:trPr>
          <w:cantSplit/>
          <w:jc w:val="center"/>
        </w:trPr>
        <w:tc>
          <w:tcPr>
            <w:tcW w:w="1411" w:type="dxa"/>
            <w:tcMar>
              <w:top w:w="48" w:type="dxa"/>
              <w:left w:w="48" w:type="dxa"/>
              <w:bottom w:w="48" w:type="dxa"/>
              <w:right w:w="48" w:type="dxa"/>
            </w:tcMar>
            <w:vAlign w:val="top"/>
          </w:tcPr>
          <w:p w14:paraId="0A8D0BD8" w14:textId="77777777" w:rsidR="005C7A72" w:rsidRDefault="009A2A24">
            <w:pPr>
              <w:spacing w:before="0" w:after="0"/>
            </w:pPr>
            <w:r>
              <w:rPr>
                <w:sz w:val="12"/>
              </w:rPr>
              <w:t>Best LightGBM</w:t>
            </w:r>
          </w:p>
        </w:tc>
        <w:tc>
          <w:tcPr>
            <w:tcW w:w="1238" w:type="dxa"/>
            <w:tcMar>
              <w:top w:w="48" w:type="dxa"/>
              <w:left w:w="48" w:type="dxa"/>
              <w:bottom w:w="48" w:type="dxa"/>
              <w:right w:w="48" w:type="dxa"/>
            </w:tcMar>
            <w:vAlign w:val="top"/>
          </w:tcPr>
          <w:p w14:paraId="600C1E35" w14:textId="77777777" w:rsidR="005C7A72" w:rsidRDefault="009A2A24">
            <w:pPr>
              <w:spacing w:before="0" w:after="0"/>
            </w:pPr>
            <w:r>
              <w:rPr>
                <w:sz w:val="12"/>
              </w:rPr>
              <w:t>P=0.375; R=0.746; S=0.648</w:t>
            </w:r>
          </w:p>
        </w:tc>
        <w:tc>
          <w:tcPr>
            <w:tcW w:w="1238" w:type="dxa"/>
            <w:tcMar>
              <w:top w:w="48" w:type="dxa"/>
              <w:left w:w="48" w:type="dxa"/>
              <w:bottom w:w="48" w:type="dxa"/>
              <w:right w:w="48" w:type="dxa"/>
            </w:tcMar>
            <w:vAlign w:val="top"/>
          </w:tcPr>
          <w:p w14:paraId="4BEFAEB2" w14:textId="77777777" w:rsidR="005C7A72" w:rsidRDefault="009A2A24">
            <w:pPr>
              <w:spacing w:before="0" w:after="0"/>
            </w:pPr>
            <w:r>
              <w:rPr>
                <w:sz w:val="12"/>
              </w:rPr>
              <w:t>ROC=0.778; PR=0.555; ECE=0.008</w:t>
            </w:r>
          </w:p>
        </w:tc>
        <w:tc>
          <w:tcPr>
            <w:tcW w:w="1080" w:type="dxa"/>
            <w:tcMar>
              <w:top w:w="48" w:type="dxa"/>
              <w:left w:w="48" w:type="dxa"/>
              <w:bottom w:w="48" w:type="dxa"/>
              <w:right w:w="48" w:type="dxa"/>
            </w:tcMar>
            <w:vAlign w:val="top"/>
          </w:tcPr>
          <w:p>
            <w:pPr>
              <w:spacing w:before="0" w:after="0"/>
            </w:pPr>
            <w:r>
              <w:rPr>
                <w:sz w:val="12"/>
              </w:rPr>
              <w:t>cost=3332</w:t>
            </w:r>
          </w:p>
        </w:tc>
      </w:tr>
      <w:tr w:rsidR="005C7A72" w14:paraId="0E4A7ED7" w14:textId="77777777">
        <w:trPr>
          <w:cantSplit/>
          <w:jc w:val="center"/>
        </w:trPr>
        <w:tc>
          <w:tcPr>
            <w:tcW w:w="1411" w:type="dxa"/>
            <w:tcMar>
              <w:top w:w="48" w:type="dxa"/>
              <w:left w:w="48" w:type="dxa"/>
              <w:bottom w:w="48" w:type="dxa"/>
              <w:right w:w="48" w:type="dxa"/>
            </w:tcMar>
            <w:vAlign w:val="top"/>
          </w:tcPr>
          <w:p w14:paraId="41746A95" w14:textId="77777777" w:rsidR="005C7A72" w:rsidRDefault="009A2A24">
            <w:pPr>
              <w:spacing w:before="0" w:after="0"/>
            </w:pPr>
            <w:r>
              <w:rPr>
                <w:sz w:val="12"/>
              </w:rPr>
              <w:t>Old SCRE-Credit</w:t>
            </w:r>
          </w:p>
        </w:tc>
        <w:tc>
          <w:tcPr>
            <w:tcW w:w="1238" w:type="dxa"/>
            <w:tcMar>
              <w:top w:w="48" w:type="dxa"/>
              <w:left w:w="48" w:type="dxa"/>
              <w:bottom w:w="48" w:type="dxa"/>
              <w:right w:w="48" w:type="dxa"/>
            </w:tcMar>
            <w:vAlign w:val="top"/>
          </w:tcPr>
          <w:p w14:paraId="2A299F7C" w14:textId="77777777" w:rsidR="005C7A72" w:rsidRDefault="009A2A24">
            <w:pPr>
              <w:spacing w:before="0" w:after="0"/>
            </w:pPr>
            <w:r>
              <w:rPr>
                <w:sz w:val="12"/>
              </w:rPr>
              <w:t>P=0.364; R=0.756; S=0.626</w:t>
            </w:r>
          </w:p>
        </w:tc>
        <w:tc>
          <w:tcPr>
            <w:tcW w:w="1238" w:type="dxa"/>
            <w:tcMar>
              <w:top w:w="48" w:type="dxa"/>
              <w:left w:w="48" w:type="dxa"/>
              <w:bottom w:w="48" w:type="dxa"/>
              <w:right w:w="48" w:type="dxa"/>
            </w:tcMar>
            <w:vAlign w:val="top"/>
          </w:tcPr>
          <w:p w14:paraId="19D82B38" w14:textId="77777777" w:rsidR="005C7A72" w:rsidRDefault="009A2A24">
            <w:pPr>
              <w:spacing w:before="0" w:after="0"/>
            </w:pPr>
            <w:r>
              <w:rPr>
                <w:sz w:val="12"/>
              </w:rPr>
              <w:t>ROC=0.782; PR=0.544; ECE=0.016</w:t>
            </w:r>
          </w:p>
        </w:tc>
        <w:tc>
          <w:tcPr>
            <w:tcW w:w="1080" w:type="dxa"/>
            <w:tcMar>
              <w:top w:w="48" w:type="dxa"/>
              <w:left w:w="48" w:type="dxa"/>
              <w:bottom w:w="48" w:type="dxa"/>
              <w:right w:w="48" w:type="dxa"/>
            </w:tcMar>
            <w:vAlign w:val="top"/>
          </w:tcPr>
          <w:p>
            <w:pPr>
              <w:spacing w:before="0" w:after="0"/>
            </w:pPr>
            <w:r>
              <w:rPr>
                <w:sz w:val="12"/>
              </w:rPr>
              <w:t>cost=3370</w:t>
            </w:r>
          </w:p>
        </w:tc>
      </w:tr>
      <w:tr w:rsidR="005C7A72" w14:paraId="641E33DE" w14:textId="77777777">
        <w:trPr>
          <w:cantSplit/>
          <w:jc w:val="center"/>
        </w:trPr>
        <w:tc>
          <w:tcPr>
            <w:tcW w:w="1411" w:type="dxa"/>
            <w:tcMar>
              <w:top w:w="48" w:type="dxa"/>
              <w:left w:w="48" w:type="dxa"/>
              <w:bottom w:w="48" w:type="dxa"/>
              <w:right w:w="48" w:type="dxa"/>
            </w:tcMar>
            <w:vAlign w:val="top"/>
          </w:tcPr>
          <w:p w14:paraId="5AF0AAFC" w14:textId="77777777" w:rsidR="005C7A72" w:rsidRDefault="009A2A24">
            <w:pPr>
              <w:spacing w:before="0" w:after="0"/>
            </w:pPr>
            <w:r>
              <w:rPr>
                <w:sz w:val="12"/>
              </w:rPr>
              <w:t>Best Scorecard</w:t>
            </w:r>
          </w:p>
        </w:tc>
        <w:tc>
          <w:tcPr>
            <w:tcW w:w="1238" w:type="dxa"/>
            <w:tcMar>
              <w:top w:w="48" w:type="dxa"/>
              <w:left w:w="48" w:type="dxa"/>
              <w:bottom w:w="48" w:type="dxa"/>
              <w:right w:w="48" w:type="dxa"/>
            </w:tcMar>
            <w:vAlign w:val="top"/>
          </w:tcPr>
          <w:p w14:paraId="5DDC7E2E" w14:textId="77777777" w:rsidR="005C7A72" w:rsidRDefault="009A2A24">
            <w:pPr>
              <w:spacing w:before="0" w:after="0"/>
            </w:pPr>
            <w:r>
              <w:rPr>
                <w:sz w:val="12"/>
              </w:rPr>
              <w:t>P=0.369; R=0.742; S=0.640</w:t>
            </w:r>
          </w:p>
        </w:tc>
        <w:tc>
          <w:tcPr>
            <w:tcW w:w="1238" w:type="dxa"/>
            <w:tcMar>
              <w:top w:w="48" w:type="dxa"/>
              <w:left w:w="48" w:type="dxa"/>
              <w:bottom w:w="48" w:type="dxa"/>
              <w:right w:w="48" w:type="dxa"/>
            </w:tcMar>
            <w:vAlign w:val="top"/>
          </w:tcPr>
          <w:p w14:paraId="6EE1957B" w14:textId="77777777" w:rsidR="005C7A72" w:rsidRDefault="009A2A24">
            <w:pPr>
              <w:spacing w:before="0" w:after="0"/>
            </w:pPr>
            <w:r>
              <w:rPr>
                <w:sz w:val="12"/>
              </w:rPr>
              <w:t>ROC=0.772; PR=0.543; ECE=0.014</w:t>
            </w:r>
          </w:p>
        </w:tc>
        <w:tc>
          <w:tcPr>
            <w:tcW w:w="1080" w:type="dxa"/>
            <w:tcMar>
              <w:top w:w="48" w:type="dxa"/>
              <w:left w:w="48" w:type="dxa"/>
              <w:bottom w:w="48" w:type="dxa"/>
              <w:right w:w="48" w:type="dxa"/>
            </w:tcMar>
            <w:vAlign w:val="top"/>
          </w:tcPr>
          <w:p>
            <w:pPr>
              <w:spacing w:before="0" w:after="0"/>
            </w:pPr>
            <w:r>
              <w:rPr>
                <w:sz w:val="12"/>
              </w:rPr>
              <w:t>cost=3395</w:t>
            </w:r>
          </w:p>
        </w:tc>
      </w:tr>
    </w:tbl>
    <w:p w14:paraId="75B8C82D" w14:textId="77777777" w:rsidR="005C7A72" w:rsidRDefault="005C7A72">
      <w:pPr>
        <w:pStyle w:val="PARA"/>
      </w:pPr>
    </w:p>
    <w:p w14:paraId="4CE46234" w14:textId="77777777" w:rsidR="005C7A72" w:rsidRDefault="009A2A24">
      <w:pPr>
        <w:pStyle w:val="TableTitle"/>
        <w:keepNext/>
      </w:pPr>
      <w:r>
        <w:t>TABLE VIII</w:t>
      </w:r>
    </w:p>
    <w:p w14:paraId="70984878" w14:textId="77777777" w:rsidR="005C7A72" w:rsidRDefault="009A2A24">
      <w:pPr>
        <w:pStyle w:val="TableTitle"/>
        <w:keepNext/>
      </w:pPr>
      <w:r>
        <w:t>HELOC DIAGNOSTIC THRESHOLD-ONLY HELD-OUT COMPARISON</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1412"/>
        <w:gridCol w:w="1238"/>
        <w:gridCol w:w="1238"/>
        <w:gridCol w:w="1080"/>
      </w:tblGrid>
      <w:tr w:rsidR="005C7A72" w14:paraId="4A6755F6" w14:textId="77777777">
        <w:trPr>
          <w:cantSplit/>
          <w:tblHeader/>
          <w:jc w:val="center"/>
        </w:trPr>
        <w:tc>
          <w:tcPr>
            <w:tcW w:w="1411" w:type="dxa"/>
            <w:shd w:val="clear" w:color="auto" w:fill="E9EEF7"/>
            <w:tcMar>
              <w:top w:w="48" w:type="dxa"/>
              <w:left w:w="48" w:type="dxa"/>
              <w:bottom w:w="48" w:type="dxa"/>
              <w:right w:w="48" w:type="dxa"/>
            </w:tcMar>
            <w:vAlign w:val="top"/>
          </w:tcPr>
          <w:p w14:paraId="1D210CCC" w14:textId="77777777" w:rsidR="005C7A72" w:rsidRDefault="009A2A24">
            <w:pPr>
              <w:spacing w:before="0" w:after="0"/>
            </w:pPr>
            <w:r>
              <w:rPr>
                <w:b/>
                <w:sz w:val="12"/>
              </w:rPr>
              <w:t>Model</w:t>
            </w:r>
          </w:p>
        </w:tc>
        <w:tc>
          <w:tcPr>
            <w:tcW w:w="1238" w:type="dxa"/>
            <w:shd w:val="clear" w:color="auto" w:fill="E9EEF7"/>
            <w:tcMar>
              <w:top w:w="48" w:type="dxa"/>
              <w:left w:w="48" w:type="dxa"/>
              <w:bottom w:w="48" w:type="dxa"/>
              <w:right w:w="48" w:type="dxa"/>
            </w:tcMar>
            <w:vAlign w:val="top"/>
          </w:tcPr>
          <w:p w14:paraId="17F4A27D" w14:textId="77777777" w:rsidR="005C7A72" w:rsidRDefault="009A2A24">
            <w:pPr>
              <w:spacing w:before="0" w:after="0"/>
            </w:pPr>
            <w:r>
              <w:rPr>
                <w:b/>
                <w:sz w:val="12"/>
              </w:rPr>
              <w:t>P/R/S</w:t>
            </w:r>
          </w:p>
        </w:tc>
        <w:tc>
          <w:tcPr>
            <w:tcW w:w="1238" w:type="dxa"/>
            <w:shd w:val="clear" w:color="auto" w:fill="E9EEF7"/>
            <w:tcMar>
              <w:top w:w="48" w:type="dxa"/>
              <w:left w:w="48" w:type="dxa"/>
              <w:bottom w:w="48" w:type="dxa"/>
              <w:right w:w="48" w:type="dxa"/>
            </w:tcMar>
            <w:vAlign w:val="top"/>
          </w:tcPr>
          <w:p w14:paraId="1F0A479D" w14:textId="77777777" w:rsidR="005C7A72" w:rsidRDefault="009A2A24">
            <w:pPr>
              <w:spacing w:before="0" w:after="0"/>
            </w:pPr>
            <w:r>
              <w:rPr>
                <w:b/>
                <w:sz w:val="12"/>
              </w:rPr>
              <w:t>ROC/PR/ECE</w:t>
            </w:r>
          </w:p>
        </w:tc>
        <w:tc>
          <w:tcPr>
            <w:tcW w:w="1080" w:type="dxa"/>
            <w:shd w:val="clear" w:color="auto" w:fill="E9EEF7"/>
            <w:tcMar>
              <w:top w:w="48" w:type="dxa"/>
              <w:left w:w="48" w:type="dxa"/>
              <w:bottom w:w="48" w:type="dxa"/>
              <w:right w:w="48" w:type="dxa"/>
            </w:tcMar>
            <w:vAlign w:val="top"/>
          </w:tcPr>
          <w:p>
            <w:pPr>
              <w:spacing w:before="0" w:after="0"/>
            </w:pPr>
            <w:r>
              <w:rPr>
                <w:b/>
                <w:sz w:val="12"/>
              </w:rPr>
              <w:t>Diagnostic cost</w:t>
            </w:r>
          </w:p>
        </w:tc>
      </w:tr>
      <w:tr w:rsidR="005C7A72" w14:paraId="3F489B7D" w14:textId="77777777">
        <w:trPr>
          <w:cantSplit/>
          <w:jc w:val="center"/>
        </w:trPr>
        <w:tc>
          <w:tcPr>
            <w:tcW w:w="1411" w:type="dxa"/>
            <w:tcMar>
              <w:top w:w="48" w:type="dxa"/>
              <w:left w:w="48" w:type="dxa"/>
              <w:bottom w:w="48" w:type="dxa"/>
              <w:right w:w="48" w:type="dxa"/>
            </w:tcMar>
            <w:vAlign w:val="top"/>
          </w:tcPr>
          <w:p w14:paraId="7959AC95" w14:textId="77777777" w:rsidR="005C7A72" w:rsidRDefault="009A2A24">
            <w:pPr>
              <w:spacing w:before="0" w:after="0"/>
            </w:pPr>
            <w:r>
              <w:rPr>
                <w:sz w:val="12"/>
              </w:rPr>
              <w:t>Best Scorecard</w:t>
            </w:r>
          </w:p>
        </w:tc>
        <w:tc>
          <w:tcPr>
            <w:tcW w:w="1238" w:type="dxa"/>
            <w:tcMar>
              <w:top w:w="48" w:type="dxa"/>
              <w:left w:w="48" w:type="dxa"/>
              <w:bottom w:w="48" w:type="dxa"/>
              <w:right w:w="48" w:type="dxa"/>
            </w:tcMar>
            <w:vAlign w:val="top"/>
          </w:tcPr>
          <w:p w14:paraId="003ED7C1" w14:textId="77777777" w:rsidR="005C7A72" w:rsidRDefault="009A2A24">
            <w:pPr>
              <w:spacing w:before="0" w:after="0"/>
            </w:pPr>
            <w:r>
              <w:rPr>
                <w:sz w:val="12"/>
              </w:rPr>
              <w:t>P=0.559; R=0.982; S=0.158</w:t>
            </w:r>
          </w:p>
        </w:tc>
        <w:tc>
          <w:tcPr>
            <w:tcW w:w="1238" w:type="dxa"/>
            <w:tcMar>
              <w:top w:w="48" w:type="dxa"/>
              <w:left w:w="48" w:type="dxa"/>
              <w:bottom w:w="48" w:type="dxa"/>
              <w:right w:w="48" w:type="dxa"/>
            </w:tcMar>
            <w:vAlign w:val="top"/>
          </w:tcPr>
          <w:p w14:paraId="05E7B1E7" w14:textId="77777777" w:rsidR="005C7A72" w:rsidRDefault="009A2A24">
            <w:pPr>
              <w:spacing w:before="0" w:after="0"/>
            </w:pPr>
            <w:r>
              <w:rPr>
                <w:sz w:val="12"/>
              </w:rPr>
              <w:t>ROC=0.801; PR=0.804; ECE=0.014</w:t>
            </w:r>
          </w:p>
        </w:tc>
        <w:tc>
          <w:tcPr>
            <w:tcW w:w="1080" w:type="dxa"/>
            <w:tcMar>
              <w:top w:w="48" w:type="dxa"/>
              <w:left w:w="48" w:type="dxa"/>
              <w:bottom w:w="48" w:type="dxa"/>
              <w:right w:w="48" w:type="dxa"/>
            </w:tcMar>
            <w:vAlign w:val="top"/>
          </w:tcPr>
          <w:p>
            <w:pPr>
              <w:spacing w:before="0" w:after="0"/>
            </w:pPr>
            <w:r>
              <w:rPr>
                <w:sz w:val="12"/>
              </w:rPr>
              <w:t>cost=892</w:t>
            </w:r>
          </w:p>
        </w:tc>
      </w:tr>
      <w:tr w:rsidR="005C7A72" w14:paraId="3047D5D9" w14:textId="77777777">
        <w:trPr>
          <w:cantSplit/>
          <w:jc w:val="center"/>
        </w:trPr>
        <w:tc>
          <w:tcPr>
            <w:tcW w:w="1411" w:type="dxa"/>
            <w:tcMar>
              <w:top w:w="48" w:type="dxa"/>
              <w:left w:w="48" w:type="dxa"/>
              <w:bottom w:w="48" w:type="dxa"/>
              <w:right w:w="48" w:type="dxa"/>
            </w:tcMar>
            <w:vAlign w:val="top"/>
          </w:tcPr>
          <w:p w14:paraId="5F81DE37" w14:textId="77777777" w:rsidR="005C7A72" w:rsidRDefault="009A2A24">
            <w:pPr>
              <w:spacing w:before="0" w:after="0"/>
            </w:pPr>
            <w:r>
              <w:rPr>
                <w:sz w:val="12"/>
              </w:rPr>
              <w:t>Old SCRE-Credit</w:t>
            </w:r>
          </w:p>
        </w:tc>
        <w:tc>
          <w:tcPr>
            <w:tcW w:w="1238" w:type="dxa"/>
            <w:tcMar>
              <w:top w:w="48" w:type="dxa"/>
              <w:left w:w="48" w:type="dxa"/>
              <w:bottom w:w="48" w:type="dxa"/>
              <w:right w:w="48" w:type="dxa"/>
            </w:tcMar>
            <w:vAlign w:val="top"/>
          </w:tcPr>
          <w:p w14:paraId="1436D75F" w14:textId="77777777" w:rsidR="005C7A72" w:rsidRDefault="009A2A24">
            <w:pPr>
              <w:spacing w:before="0" w:after="0"/>
            </w:pPr>
            <w:r>
              <w:rPr>
                <w:sz w:val="12"/>
              </w:rPr>
              <w:t>P=0.601; R=0.952; S=0.314</w:t>
            </w:r>
          </w:p>
        </w:tc>
        <w:tc>
          <w:tcPr>
            <w:tcW w:w="1238" w:type="dxa"/>
            <w:tcMar>
              <w:top w:w="48" w:type="dxa"/>
              <w:left w:w="48" w:type="dxa"/>
              <w:bottom w:w="48" w:type="dxa"/>
              <w:right w:w="48" w:type="dxa"/>
            </w:tcMar>
            <w:vAlign w:val="top"/>
          </w:tcPr>
          <w:p w14:paraId="16F126DD" w14:textId="77777777" w:rsidR="005C7A72" w:rsidRDefault="009A2A24">
            <w:pPr>
              <w:spacing w:before="0" w:after="0"/>
            </w:pPr>
            <w:r>
              <w:rPr>
                <w:sz w:val="12"/>
              </w:rPr>
              <w:t>ROC=0.803; PR=0.794; ECE=0.022</w:t>
            </w:r>
          </w:p>
        </w:tc>
        <w:tc>
          <w:tcPr>
            <w:tcW w:w="1080" w:type="dxa"/>
            <w:tcMar>
              <w:top w:w="48" w:type="dxa"/>
              <w:left w:w="48" w:type="dxa"/>
              <w:bottom w:w="48" w:type="dxa"/>
              <w:right w:w="48" w:type="dxa"/>
            </w:tcMar>
            <w:vAlign w:val="top"/>
          </w:tcPr>
          <w:p>
            <w:pPr>
              <w:spacing w:before="0" w:after="0"/>
            </w:pPr>
            <w:r>
              <w:rPr>
                <w:sz w:val="12"/>
              </w:rPr>
              <w:t>cost=895</w:t>
            </w:r>
          </w:p>
        </w:tc>
      </w:tr>
      <w:tr w:rsidR="005C7A72" w14:paraId="34616E8E" w14:textId="77777777">
        <w:trPr>
          <w:cantSplit/>
          <w:jc w:val="center"/>
        </w:trPr>
        <w:tc>
          <w:tcPr>
            <w:tcW w:w="1411" w:type="dxa"/>
            <w:tcMar>
              <w:top w:w="48" w:type="dxa"/>
              <w:left w:w="48" w:type="dxa"/>
              <w:bottom w:w="48" w:type="dxa"/>
              <w:right w:w="48" w:type="dxa"/>
            </w:tcMar>
            <w:vAlign w:val="top"/>
          </w:tcPr>
          <w:p w14:paraId="4EE3A5F8" w14:textId="77777777" w:rsidR="005C7A72" w:rsidRDefault="009A2A24">
            <w:pPr>
              <w:spacing w:before="0" w:after="0"/>
            </w:pPr>
            <w:r>
              <w:rPr>
                <w:sz w:val="12"/>
              </w:rPr>
              <w:t>Best CatBoost</w:t>
            </w:r>
          </w:p>
        </w:tc>
        <w:tc>
          <w:tcPr>
            <w:tcW w:w="1238" w:type="dxa"/>
            <w:tcMar>
              <w:top w:w="48" w:type="dxa"/>
              <w:left w:w="48" w:type="dxa"/>
              <w:bottom w:w="48" w:type="dxa"/>
              <w:right w:w="48" w:type="dxa"/>
            </w:tcMar>
            <w:vAlign w:val="top"/>
          </w:tcPr>
          <w:p w14:paraId="0E630785" w14:textId="77777777" w:rsidR="005C7A72" w:rsidRDefault="009A2A24">
            <w:pPr>
              <w:spacing w:before="0" w:after="0"/>
            </w:pPr>
            <w:r>
              <w:rPr>
                <w:sz w:val="12"/>
              </w:rPr>
              <w:t>P=0.558; R=0.981; S=0.157</w:t>
            </w:r>
          </w:p>
        </w:tc>
        <w:tc>
          <w:tcPr>
            <w:tcW w:w="1238" w:type="dxa"/>
            <w:tcMar>
              <w:top w:w="48" w:type="dxa"/>
              <w:left w:w="48" w:type="dxa"/>
              <w:bottom w:w="48" w:type="dxa"/>
              <w:right w:w="48" w:type="dxa"/>
            </w:tcMar>
            <w:vAlign w:val="top"/>
          </w:tcPr>
          <w:p w14:paraId="0824266D" w14:textId="77777777" w:rsidR="005C7A72" w:rsidRDefault="009A2A24">
            <w:pPr>
              <w:spacing w:before="0" w:after="0"/>
            </w:pPr>
            <w:r>
              <w:rPr>
                <w:sz w:val="12"/>
              </w:rPr>
              <w:t>ROC=0.804; PR=0.812; ECE=0.011</w:t>
            </w:r>
          </w:p>
        </w:tc>
        <w:tc>
          <w:tcPr>
            <w:tcW w:w="1080" w:type="dxa"/>
            <w:tcMar>
              <w:top w:w="48" w:type="dxa"/>
              <w:left w:w="48" w:type="dxa"/>
              <w:bottom w:w="48" w:type="dxa"/>
              <w:right w:w="48" w:type="dxa"/>
            </w:tcMar>
            <w:vAlign w:val="top"/>
          </w:tcPr>
          <w:p>
            <w:pPr>
              <w:spacing w:before="0" w:after="0"/>
            </w:pPr>
            <w:r>
              <w:rPr>
                <w:sz w:val="12"/>
              </w:rPr>
              <w:t>cost=898</w:t>
            </w:r>
          </w:p>
        </w:tc>
      </w:tr>
      <w:tr w:rsidR="005C7A72" w14:paraId="2B061499" w14:textId="77777777">
        <w:trPr>
          <w:cantSplit/>
          <w:jc w:val="center"/>
        </w:trPr>
        <w:tc>
          <w:tcPr>
            <w:tcW w:w="1411" w:type="dxa"/>
            <w:tcMar>
              <w:top w:w="48" w:type="dxa"/>
              <w:left w:w="48" w:type="dxa"/>
              <w:bottom w:w="48" w:type="dxa"/>
              <w:right w:w="48" w:type="dxa"/>
            </w:tcMar>
            <w:vAlign w:val="top"/>
          </w:tcPr>
          <w:p w14:paraId="18DB1255" w14:textId="77777777" w:rsidR="005C7A72" w:rsidRDefault="009A2A24">
            <w:pPr>
              <w:spacing w:before="0" w:after="0"/>
            </w:pPr>
            <w:r>
              <w:rPr>
                <w:sz w:val="12"/>
              </w:rPr>
              <w:t>SCRE-Optimized</w:t>
            </w:r>
          </w:p>
        </w:tc>
        <w:tc>
          <w:tcPr>
            <w:tcW w:w="1238" w:type="dxa"/>
            <w:tcMar>
              <w:top w:w="48" w:type="dxa"/>
              <w:left w:w="48" w:type="dxa"/>
              <w:bottom w:w="48" w:type="dxa"/>
              <w:right w:w="48" w:type="dxa"/>
            </w:tcMar>
            <w:vAlign w:val="top"/>
          </w:tcPr>
          <w:p w14:paraId="275B0B11" w14:textId="77777777" w:rsidR="005C7A72" w:rsidRDefault="009A2A24">
            <w:pPr>
              <w:spacing w:before="0" w:after="0"/>
            </w:pPr>
            <w:r>
              <w:rPr>
                <w:sz w:val="12"/>
              </w:rPr>
              <w:t>P=0.561; R=0.978; S=0.171</w:t>
            </w:r>
          </w:p>
        </w:tc>
        <w:tc>
          <w:tcPr>
            <w:tcW w:w="1238" w:type="dxa"/>
            <w:tcMar>
              <w:top w:w="48" w:type="dxa"/>
              <w:left w:w="48" w:type="dxa"/>
              <w:bottom w:w="48" w:type="dxa"/>
              <w:right w:w="48" w:type="dxa"/>
            </w:tcMar>
            <w:vAlign w:val="top"/>
          </w:tcPr>
          <w:p w14:paraId="6AC449E3" w14:textId="77777777" w:rsidR="005C7A72" w:rsidRDefault="009A2A24">
            <w:pPr>
              <w:spacing w:before="0" w:after="0"/>
            </w:pPr>
            <w:r>
              <w:rPr>
                <w:sz w:val="12"/>
              </w:rPr>
              <w:t>ROC=0.805; PR=0.813; ECE=0.046</w:t>
            </w:r>
          </w:p>
        </w:tc>
        <w:tc>
          <w:tcPr>
            <w:tcW w:w="1080" w:type="dxa"/>
            <w:tcMar>
              <w:top w:w="48" w:type="dxa"/>
              <w:left w:w="48" w:type="dxa"/>
              <w:bottom w:w="48" w:type="dxa"/>
              <w:right w:w="48" w:type="dxa"/>
            </w:tcMar>
            <w:vAlign w:val="top"/>
          </w:tcPr>
          <w:p>
            <w:pPr>
              <w:spacing w:before="0" w:after="0"/>
            </w:pPr>
            <w:r>
              <w:rPr>
                <w:sz w:val="12"/>
              </w:rPr>
              <w:t>cost=900</w:t>
            </w:r>
          </w:p>
        </w:tc>
      </w:tr>
      <w:tr w:rsidR="005C7A72" w14:paraId="390E2C92" w14:textId="77777777">
        <w:trPr>
          <w:cantSplit/>
          <w:jc w:val="center"/>
        </w:trPr>
        <w:tc>
          <w:tcPr>
            <w:tcW w:w="1411" w:type="dxa"/>
            <w:tcMar>
              <w:top w:w="48" w:type="dxa"/>
              <w:left w:w="48" w:type="dxa"/>
              <w:bottom w:w="48" w:type="dxa"/>
              <w:right w:w="48" w:type="dxa"/>
            </w:tcMar>
            <w:vAlign w:val="top"/>
          </w:tcPr>
          <w:p w14:paraId="2350EB47" w14:textId="77777777" w:rsidR="005C7A72" w:rsidRDefault="009A2A24">
            <w:pPr>
              <w:spacing w:before="0" w:after="0"/>
            </w:pPr>
            <w:r>
              <w:rPr>
                <w:sz w:val="12"/>
              </w:rPr>
              <w:t>Best Monotonic model</w:t>
            </w:r>
          </w:p>
        </w:tc>
        <w:tc>
          <w:tcPr>
            <w:tcW w:w="1238" w:type="dxa"/>
            <w:tcMar>
              <w:top w:w="48" w:type="dxa"/>
              <w:left w:w="48" w:type="dxa"/>
              <w:bottom w:w="48" w:type="dxa"/>
              <w:right w:w="48" w:type="dxa"/>
            </w:tcMar>
            <w:vAlign w:val="top"/>
          </w:tcPr>
          <w:p w14:paraId="725ED762" w14:textId="77777777" w:rsidR="005C7A72" w:rsidRDefault="009A2A24">
            <w:pPr>
              <w:spacing w:before="0" w:after="0"/>
            </w:pPr>
            <w:r>
              <w:rPr>
                <w:sz w:val="12"/>
              </w:rPr>
              <w:t>P=0.550; R=0.985; S=0.126</w:t>
            </w:r>
          </w:p>
        </w:tc>
        <w:tc>
          <w:tcPr>
            <w:tcW w:w="1238" w:type="dxa"/>
            <w:tcMar>
              <w:top w:w="48" w:type="dxa"/>
              <w:left w:w="48" w:type="dxa"/>
              <w:bottom w:w="48" w:type="dxa"/>
              <w:right w:w="48" w:type="dxa"/>
            </w:tcMar>
            <w:vAlign w:val="top"/>
          </w:tcPr>
          <w:p w14:paraId="3B79CD94" w14:textId="77777777" w:rsidR="005C7A72" w:rsidRDefault="009A2A24">
            <w:pPr>
              <w:spacing w:before="0" w:after="0"/>
            </w:pPr>
            <w:r>
              <w:rPr>
                <w:sz w:val="12"/>
              </w:rPr>
              <w:t>ROC=0.797; PR=0.801; ECE=0.013</w:t>
            </w:r>
          </w:p>
        </w:tc>
        <w:tc>
          <w:tcPr>
            <w:tcW w:w="1080" w:type="dxa"/>
            <w:tcMar>
              <w:top w:w="48" w:type="dxa"/>
              <w:left w:w="48" w:type="dxa"/>
              <w:bottom w:w="48" w:type="dxa"/>
              <w:right w:w="48" w:type="dxa"/>
            </w:tcMar>
            <w:vAlign w:val="top"/>
          </w:tcPr>
          <w:p>
            <w:pPr>
              <w:spacing w:before="0" w:after="0"/>
            </w:pPr>
            <w:r>
              <w:rPr>
                <w:sz w:val="12"/>
              </w:rPr>
              <w:t>cost=903</w:t>
            </w:r>
          </w:p>
        </w:tc>
      </w:tr>
      <w:tr w:rsidR="005C7A72" w14:paraId="0EC7609D" w14:textId="77777777">
        <w:trPr>
          <w:cantSplit/>
          <w:jc w:val="center"/>
        </w:trPr>
        <w:tc>
          <w:tcPr>
            <w:tcW w:w="1411" w:type="dxa"/>
            <w:tcMar>
              <w:top w:w="48" w:type="dxa"/>
              <w:left w:w="48" w:type="dxa"/>
              <w:bottom w:w="48" w:type="dxa"/>
              <w:right w:w="48" w:type="dxa"/>
            </w:tcMar>
            <w:vAlign w:val="top"/>
          </w:tcPr>
          <w:p w14:paraId="6FD0B920" w14:textId="77777777" w:rsidR="005C7A72" w:rsidRDefault="009A2A24">
            <w:pPr>
              <w:spacing w:before="0" w:after="0"/>
            </w:pPr>
            <w:r>
              <w:rPr>
                <w:sz w:val="12"/>
              </w:rPr>
              <w:t>SCRE-Pareto</w:t>
            </w:r>
          </w:p>
        </w:tc>
        <w:tc>
          <w:tcPr>
            <w:tcW w:w="1238" w:type="dxa"/>
            <w:tcMar>
              <w:top w:w="48" w:type="dxa"/>
              <w:left w:w="48" w:type="dxa"/>
              <w:bottom w:w="48" w:type="dxa"/>
              <w:right w:w="48" w:type="dxa"/>
            </w:tcMar>
            <w:vAlign w:val="top"/>
          </w:tcPr>
          <w:p w14:paraId="355AE388" w14:textId="77777777" w:rsidR="005C7A72" w:rsidRDefault="009A2A24">
            <w:pPr>
              <w:spacing w:before="0" w:after="0"/>
            </w:pPr>
            <w:r>
              <w:rPr>
                <w:sz w:val="12"/>
              </w:rPr>
              <w:t>P=0.572; R=0.969; S=0.214</w:t>
            </w:r>
          </w:p>
        </w:tc>
        <w:tc>
          <w:tcPr>
            <w:tcW w:w="1238" w:type="dxa"/>
            <w:tcMar>
              <w:top w:w="48" w:type="dxa"/>
              <w:left w:w="48" w:type="dxa"/>
              <w:bottom w:w="48" w:type="dxa"/>
              <w:right w:w="48" w:type="dxa"/>
            </w:tcMar>
            <w:vAlign w:val="top"/>
          </w:tcPr>
          <w:p w14:paraId="7AD7A940" w14:textId="77777777" w:rsidR="005C7A72" w:rsidRDefault="009A2A24">
            <w:pPr>
              <w:spacing w:before="0" w:after="0"/>
            </w:pPr>
            <w:r>
              <w:rPr>
                <w:sz w:val="12"/>
              </w:rPr>
              <w:t xml:space="preserve">ROC=0.806; PR=0.810; </w:t>
            </w:r>
            <w:r>
              <w:rPr>
                <w:sz w:val="12"/>
              </w:rPr>
              <w:t>ECE=0.028</w:t>
            </w:r>
          </w:p>
        </w:tc>
        <w:tc>
          <w:tcPr>
            <w:tcW w:w="1080" w:type="dxa"/>
            <w:tcMar>
              <w:top w:w="48" w:type="dxa"/>
              <w:left w:w="48" w:type="dxa"/>
              <w:bottom w:w="48" w:type="dxa"/>
              <w:right w:w="48" w:type="dxa"/>
            </w:tcMar>
            <w:vAlign w:val="top"/>
          </w:tcPr>
          <w:p>
            <w:pPr>
              <w:spacing w:before="0" w:after="0"/>
            </w:pPr>
            <w:r>
              <w:rPr>
                <w:sz w:val="12"/>
              </w:rPr>
              <w:t>cost=904</w:t>
            </w:r>
          </w:p>
        </w:tc>
      </w:tr>
      <w:tr w:rsidR="005C7A72" w14:paraId="1596B49E" w14:textId="77777777">
        <w:trPr>
          <w:cantSplit/>
          <w:jc w:val="center"/>
        </w:trPr>
        <w:tc>
          <w:tcPr>
            <w:tcW w:w="1411" w:type="dxa"/>
            <w:tcMar>
              <w:top w:w="48" w:type="dxa"/>
              <w:left w:w="48" w:type="dxa"/>
              <w:bottom w:w="48" w:type="dxa"/>
              <w:right w:w="48" w:type="dxa"/>
            </w:tcMar>
            <w:vAlign w:val="top"/>
          </w:tcPr>
          <w:p w14:paraId="11D2163E" w14:textId="77777777" w:rsidR="005C7A72" w:rsidRDefault="009A2A24">
            <w:pPr>
              <w:spacing w:before="0" w:after="0"/>
            </w:pPr>
            <w:r>
              <w:rPr>
                <w:sz w:val="12"/>
              </w:rPr>
              <w:t>Best XGBoost</w:t>
            </w:r>
          </w:p>
        </w:tc>
        <w:tc>
          <w:tcPr>
            <w:tcW w:w="1238" w:type="dxa"/>
            <w:tcMar>
              <w:top w:w="48" w:type="dxa"/>
              <w:left w:w="48" w:type="dxa"/>
              <w:bottom w:w="48" w:type="dxa"/>
              <w:right w:w="48" w:type="dxa"/>
            </w:tcMar>
            <w:vAlign w:val="top"/>
          </w:tcPr>
          <w:p w14:paraId="43AC0CA2" w14:textId="77777777" w:rsidR="005C7A72" w:rsidRDefault="009A2A24">
            <w:pPr>
              <w:spacing w:before="0" w:after="0"/>
            </w:pPr>
            <w:r>
              <w:rPr>
                <w:sz w:val="12"/>
              </w:rPr>
              <w:t>P=0.611; R=0.942; S=0.350</w:t>
            </w:r>
          </w:p>
        </w:tc>
        <w:tc>
          <w:tcPr>
            <w:tcW w:w="1238" w:type="dxa"/>
            <w:tcMar>
              <w:top w:w="48" w:type="dxa"/>
              <w:left w:w="48" w:type="dxa"/>
              <w:bottom w:w="48" w:type="dxa"/>
              <w:right w:w="48" w:type="dxa"/>
            </w:tcMar>
            <w:vAlign w:val="top"/>
          </w:tcPr>
          <w:p w14:paraId="3A6D80F6" w14:textId="77777777" w:rsidR="005C7A72" w:rsidRDefault="009A2A24">
            <w:pPr>
              <w:spacing w:before="0" w:after="0"/>
            </w:pPr>
            <w:r>
              <w:rPr>
                <w:sz w:val="12"/>
              </w:rPr>
              <w:t>ROC=0.803; PR=0.805; ECE=0.020</w:t>
            </w:r>
          </w:p>
        </w:tc>
        <w:tc>
          <w:tcPr>
            <w:tcW w:w="1080" w:type="dxa"/>
            <w:tcMar>
              <w:top w:w="48" w:type="dxa"/>
              <w:left w:w="48" w:type="dxa"/>
              <w:bottom w:w="48" w:type="dxa"/>
              <w:right w:w="48" w:type="dxa"/>
            </w:tcMar>
            <w:vAlign w:val="top"/>
          </w:tcPr>
          <w:p>
            <w:pPr>
              <w:spacing w:before="0" w:after="0"/>
            </w:pPr>
            <w:r>
              <w:rPr>
                <w:sz w:val="12"/>
              </w:rPr>
              <w:t>cost=916</w:t>
            </w:r>
          </w:p>
        </w:tc>
      </w:tr>
      <w:tr w:rsidR="005C7A72" w14:paraId="5663878B" w14:textId="77777777">
        <w:trPr>
          <w:cantSplit/>
          <w:jc w:val="center"/>
        </w:trPr>
        <w:tc>
          <w:tcPr>
            <w:tcW w:w="1411" w:type="dxa"/>
            <w:tcMar>
              <w:top w:w="48" w:type="dxa"/>
              <w:left w:w="48" w:type="dxa"/>
              <w:bottom w:w="48" w:type="dxa"/>
              <w:right w:w="48" w:type="dxa"/>
            </w:tcMar>
            <w:vAlign w:val="top"/>
          </w:tcPr>
          <w:p w14:paraId="519BCE9D" w14:textId="77777777" w:rsidR="005C7A72" w:rsidRDefault="009A2A24">
            <w:pPr>
              <w:spacing w:before="0" w:after="0"/>
            </w:pPr>
            <w:r>
              <w:rPr>
                <w:sz w:val="12"/>
              </w:rPr>
              <w:t>Best LightGBM</w:t>
            </w:r>
          </w:p>
        </w:tc>
        <w:tc>
          <w:tcPr>
            <w:tcW w:w="1238" w:type="dxa"/>
            <w:tcMar>
              <w:top w:w="48" w:type="dxa"/>
              <w:left w:w="48" w:type="dxa"/>
              <w:bottom w:w="48" w:type="dxa"/>
              <w:right w:w="48" w:type="dxa"/>
            </w:tcMar>
            <w:vAlign w:val="top"/>
          </w:tcPr>
          <w:p w14:paraId="6152463C" w14:textId="77777777" w:rsidR="005C7A72" w:rsidRDefault="009A2A24">
            <w:pPr>
              <w:spacing w:before="0" w:after="0"/>
            </w:pPr>
            <w:r>
              <w:rPr>
                <w:sz w:val="12"/>
              </w:rPr>
              <w:t>P=0.546; R=0.983; S=0.114</w:t>
            </w:r>
          </w:p>
        </w:tc>
        <w:tc>
          <w:tcPr>
            <w:tcW w:w="1238" w:type="dxa"/>
            <w:tcMar>
              <w:top w:w="48" w:type="dxa"/>
              <w:left w:w="48" w:type="dxa"/>
              <w:bottom w:w="48" w:type="dxa"/>
              <w:right w:w="48" w:type="dxa"/>
            </w:tcMar>
            <w:vAlign w:val="top"/>
          </w:tcPr>
          <w:p w14:paraId="2C5D4689" w14:textId="77777777" w:rsidR="005C7A72" w:rsidRDefault="009A2A24">
            <w:pPr>
              <w:spacing w:before="0" w:after="0"/>
            </w:pPr>
            <w:r>
              <w:rPr>
                <w:sz w:val="12"/>
              </w:rPr>
              <w:t>ROC=0.787; PR=0.793; ECE=0.028</w:t>
            </w:r>
          </w:p>
        </w:tc>
        <w:tc>
          <w:tcPr>
            <w:tcW w:w="1080" w:type="dxa"/>
            <w:tcMar>
              <w:top w:w="48" w:type="dxa"/>
              <w:left w:w="48" w:type="dxa"/>
              <w:bottom w:w="48" w:type="dxa"/>
              <w:right w:w="48" w:type="dxa"/>
            </w:tcMar>
            <w:vAlign w:val="top"/>
          </w:tcPr>
          <w:p>
            <w:pPr>
              <w:spacing w:before="0" w:after="0"/>
            </w:pPr>
            <w:r>
              <w:rPr>
                <w:sz w:val="12"/>
              </w:rPr>
              <w:t>cost=924</w:t>
            </w:r>
          </w:p>
        </w:tc>
      </w:tr>
    </w:tbl>
    <w:p w14:paraId="4353B238" w14:textId="77777777" w:rsidR="005C7A72" w:rsidRDefault="005C7A72">
      <w:pPr>
        <w:pStyle w:val="PARA"/>
      </w:pPr>
    </w:p>
    <w:p w14:paraId="7CE8D632" w14:textId="77777777" w:rsidR="005C7A72" w:rsidRDefault="009A2A24">
      <w:pPr>
        <w:pStyle w:val="PARA"/>
      </w:pPr>
      <w:r>
        <w:t>The diagnostic threshold-only comparison shows why the report avoids one-size-fits-all claims. These rows are useful for understanding candidate behavior under held-out evidence, but they are not the basis for selecting the final operational policies. The locked manual-review results below remain the main final evidence.</w:t>
      </w:r>
    </w:p>
    <w:p w14:paraId="0B6E43CA" w14:textId="77777777" w:rsidR="005C7A72" w:rsidRDefault="009A2A24">
      <w:pPr>
        <w:pStyle w:val="PARA"/>
        <w:keepNext/>
        <w:spacing w:before="100"/>
      </w:pPr>
      <w:r>
        <w:rPr>
          <w:b/>
          <w:i/>
        </w:rPr>
        <w:t>C. Locked final policies</w:t>
      </w:r>
    </w:p>
    <w:p w14:paraId="202B472B" w14:textId="77777777" w:rsidR="005C7A72" w:rsidRDefault="009A2A24">
      <w:pPr>
        <w:pStyle w:val="TableTitle"/>
        <w:keepNext/>
      </w:pPr>
      <w:r>
        <w:t>TABLE IX</w:t>
      </w:r>
    </w:p>
    <w:p w14:paraId="37560B99" w14:textId="77777777" w:rsidR="005C7A72" w:rsidRDefault="009A2A24">
      <w:pPr>
        <w:pStyle w:val="TableTitle"/>
        <w:keepNext/>
      </w:pPr>
      <w:r>
        <w:t>LOCKED HELD-OUT TEST RESULTS FOR FINAL REVISED POLICIES</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690"/>
        <w:gridCol w:w="1340"/>
        <w:gridCol w:w="1325"/>
        <w:gridCol w:w="1613"/>
      </w:tblGrid>
      <w:tr w:rsidR="005C7A72" w14:paraId="08D862B0" w14:textId="77777777">
        <w:trPr>
          <w:cantSplit/>
          <w:tblHeader/>
          <w:jc w:val="center"/>
        </w:trPr>
        <w:tc>
          <w:tcPr>
            <w:tcW w:w="691" w:type="dxa"/>
            <w:shd w:val="clear" w:color="auto" w:fill="E9EEF7"/>
            <w:tcMar>
              <w:top w:w="48" w:type="dxa"/>
              <w:left w:w="48" w:type="dxa"/>
              <w:bottom w:w="48" w:type="dxa"/>
              <w:right w:w="48" w:type="dxa"/>
            </w:tcMar>
            <w:vAlign w:val="top"/>
          </w:tcPr>
          <w:p w14:paraId="7B07B14A" w14:textId="77777777" w:rsidR="005C7A72" w:rsidRDefault="009A2A24">
            <w:pPr>
              <w:spacing w:before="0" w:after="0"/>
            </w:pPr>
            <w:r>
              <w:rPr>
                <w:b/>
                <w:sz w:val="12"/>
              </w:rPr>
              <w:t>Data</w:t>
            </w:r>
          </w:p>
        </w:tc>
        <w:tc>
          <w:tcPr>
            <w:tcW w:w="1339" w:type="dxa"/>
            <w:shd w:val="clear" w:color="auto" w:fill="E9EEF7"/>
            <w:tcMar>
              <w:top w:w="48" w:type="dxa"/>
              <w:left w:w="48" w:type="dxa"/>
              <w:bottom w:w="48" w:type="dxa"/>
              <w:right w:w="48" w:type="dxa"/>
            </w:tcMar>
            <w:vAlign w:val="top"/>
          </w:tcPr>
          <w:p w14:paraId="71295360" w14:textId="77777777" w:rsidR="005C7A72" w:rsidRDefault="009A2A24">
            <w:pPr>
              <w:spacing w:before="0" w:after="0"/>
            </w:pPr>
            <w:r>
              <w:rPr>
                <w:b/>
                <w:sz w:val="12"/>
              </w:rPr>
              <w:t>Locked policy</w:t>
            </w:r>
          </w:p>
        </w:tc>
        <w:tc>
          <w:tcPr>
            <w:tcW w:w="1324" w:type="dxa"/>
            <w:shd w:val="clear" w:color="auto" w:fill="E9EEF7"/>
            <w:tcMar>
              <w:top w:w="48" w:type="dxa"/>
              <w:left w:w="48" w:type="dxa"/>
              <w:bottom w:w="48" w:type="dxa"/>
              <w:right w:w="48" w:type="dxa"/>
            </w:tcMar>
            <w:vAlign w:val="top"/>
          </w:tcPr>
          <w:p w14:paraId="59706E81" w14:textId="77777777" w:rsidR="005C7A72" w:rsidRDefault="009A2A24">
            <w:pPr>
              <w:spacing w:before="0" w:after="0"/>
            </w:pPr>
            <w:r>
              <w:rPr>
                <w:b/>
                <w:sz w:val="12"/>
              </w:rPr>
              <w:t xml:space="preserve">Test </w:t>
            </w:r>
            <w:r>
              <w:rPr>
                <w:b/>
                <w:sz w:val="12"/>
              </w:rPr>
              <w:t>P/R/S/F1</w:t>
            </w:r>
          </w:p>
        </w:tc>
        <w:tc>
          <w:tcPr>
            <w:tcW w:w="1612" w:type="dxa"/>
            <w:shd w:val="clear" w:color="auto" w:fill="E9EEF7"/>
            <w:tcMar>
              <w:top w:w="48" w:type="dxa"/>
              <w:left w:w="48" w:type="dxa"/>
              <w:bottom w:w="48" w:type="dxa"/>
              <w:right w:w="48" w:type="dxa"/>
            </w:tcMar>
            <w:vAlign w:val="top"/>
          </w:tcPr>
          <w:p w14:paraId="494C229B" w14:textId="77777777" w:rsidR="005C7A72" w:rsidRDefault="009A2A24">
            <w:pPr>
              <w:spacing w:before="0" w:after="0"/>
            </w:pPr>
            <w:r>
              <w:rPr>
                <w:b/>
                <w:sz w:val="12"/>
              </w:rPr>
              <w:t>Final operational evidence</w:t>
            </w:r>
          </w:p>
        </w:tc>
      </w:tr>
      <w:tr w:rsidR="005C7A72" w14:paraId="3D53D980" w14:textId="77777777">
        <w:trPr>
          <w:cantSplit/>
          <w:jc w:val="center"/>
        </w:trPr>
        <w:tc>
          <w:tcPr>
            <w:tcW w:w="691" w:type="dxa"/>
            <w:tcMar>
              <w:top w:w="48" w:type="dxa"/>
              <w:left w:w="48" w:type="dxa"/>
              <w:bottom w:w="48" w:type="dxa"/>
              <w:right w:w="48" w:type="dxa"/>
            </w:tcMar>
            <w:vAlign w:val="top"/>
          </w:tcPr>
          <w:p w14:paraId="704EAD43" w14:textId="77777777" w:rsidR="005C7A72" w:rsidRDefault="009A2A24">
            <w:pPr>
              <w:spacing w:before="0" w:after="0"/>
            </w:pPr>
            <w:r>
              <w:rPr>
                <w:sz w:val="12"/>
              </w:rPr>
              <w:t>Taiwan</w:t>
            </w:r>
          </w:p>
        </w:tc>
        <w:tc>
          <w:tcPr>
            <w:tcW w:w="1339" w:type="dxa"/>
            <w:tcMar>
              <w:top w:w="48" w:type="dxa"/>
              <w:left w:w="48" w:type="dxa"/>
              <w:bottom w:w="48" w:type="dxa"/>
              <w:right w:w="48" w:type="dxa"/>
            </w:tcMar>
            <w:vAlign w:val="top"/>
          </w:tcPr>
          <w:p w14:paraId="1559CD71" w14:textId="77777777" w:rsidR="005C7A72" w:rsidRDefault="009A2A24">
            <w:pPr>
              <w:spacing w:before="0" w:after="0"/>
            </w:pPr>
            <w:r>
              <w:rPr>
                <w:sz w:val="12"/>
              </w:rPr>
              <w:t>Best CatBoost; isotonic; band [0.14, 0.28].</w:t>
            </w:r>
          </w:p>
        </w:tc>
        <w:tc>
          <w:tcPr>
            <w:tcW w:w="1324" w:type="dxa"/>
            <w:tcMar>
              <w:top w:w="48" w:type="dxa"/>
              <w:left w:w="48" w:type="dxa"/>
              <w:bottom w:w="48" w:type="dxa"/>
              <w:right w:w="48" w:type="dxa"/>
            </w:tcMar>
            <w:vAlign w:val="top"/>
          </w:tcPr>
          <w:p w14:paraId="312B2352" w14:textId="77777777" w:rsidR="005C7A72" w:rsidRDefault="009A2A24">
            <w:pPr>
              <w:spacing w:before="0" w:after="0"/>
            </w:pPr>
            <w:r>
              <w:rPr>
                <w:sz w:val="12"/>
              </w:rPr>
              <w:t>P=0.529; R=0.575; S=0.854; F1=0.551.</w:t>
            </w:r>
          </w:p>
        </w:tc>
        <w:tc>
          <w:tcPr>
            <w:tcW w:w="1612" w:type="dxa"/>
            <w:tcMar>
              <w:top w:w="48" w:type="dxa"/>
              <w:left w:w="48" w:type="dxa"/>
              <w:bottom w:w="48" w:type="dxa"/>
              <w:right w:w="48" w:type="dxa"/>
            </w:tcMar>
            <w:vAlign w:val="top"/>
          </w:tcPr>
          <w:p w14:paraId="5EF6CE43" w14:textId="77777777" w:rsidR="005C7A72" w:rsidRDefault="009A2A24">
            <w:pPr>
              <w:spacing w:before="0" w:after="0"/>
            </w:pPr>
            <w:r>
              <w:rPr>
                <w:sz w:val="12"/>
              </w:rPr>
              <w:t>FP=680; FN=564; cost=2705.5; MR=29.5%.</w:t>
            </w:r>
          </w:p>
        </w:tc>
      </w:tr>
      <w:tr w:rsidR="005C7A72" w14:paraId="10D65890" w14:textId="77777777">
        <w:trPr>
          <w:cantSplit/>
          <w:jc w:val="center"/>
        </w:trPr>
        <w:tc>
          <w:tcPr>
            <w:tcW w:w="691" w:type="dxa"/>
            <w:tcMar>
              <w:top w:w="48" w:type="dxa"/>
              <w:left w:w="48" w:type="dxa"/>
              <w:bottom w:w="48" w:type="dxa"/>
              <w:right w:w="48" w:type="dxa"/>
            </w:tcMar>
            <w:vAlign w:val="top"/>
          </w:tcPr>
          <w:p w14:paraId="54CBD253" w14:textId="77777777" w:rsidR="005C7A72" w:rsidRDefault="009A2A24">
            <w:pPr>
              <w:spacing w:before="0" w:after="0"/>
            </w:pPr>
            <w:r>
              <w:rPr>
                <w:sz w:val="12"/>
              </w:rPr>
              <w:t>HELOC</w:t>
            </w:r>
          </w:p>
        </w:tc>
        <w:tc>
          <w:tcPr>
            <w:tcW w:w="1339" w:type="dxa"/>
            <w:tcMar>
              <w:top w:w="48" w:type="dxa"/>
              <w:left w:w="48" w:type="dxa"/>
              <w:bottom w:w="48" w:type="dxa"/>
              <w:right w:w="48" w:type="dxa"/>
            </w:tcMar>
            <w:vAlign w:val="top"/>
          </w:tcPr>
          <w:p w14:paraId="2A50974A" w14:textId="77777777" w:rsidR="005C7A72" w:rsidRDefault="009A2A24">
            <w:pPr>
              <w:spacing w:before="0" w:after="0"/>
            </w:pPr>
            <w:r>
              <w:rPr>
                <w:sz w:val="12"/>
              </w:rPr>
              <w:t>Best Scorecard; sigmoid; band [0.16, 0.39].</w:t>
            </w:r>
          </w:p>
        </w:tc>
        <w:tc>
          <w:tcPr>
            <w:tcW w:w="1324" w:type="dxa"/>
            <w:tcMar>
              <w:top w:w="48" w:type="dxa"/>
              <w:left w:w="48" w:type="dxa"/>
              <w:bottom w:w="48" w:type="dxa"/>
              <w:right w:w="48" w:type="dxa"/>
            </w:tcMar>
            <w:vAlign w:val="top"/>
          </w:tcPr>
          <w:p w14:paraId="70C8C341" w14:textId="77777777" w:rsidR="005C7A72" w:rsidRDefault="009A2A24">
            <w:pPr>
              <w:spacing w:before="0" w:after="0"/>
            </w:pPr>
            <w:r>
              <w:rPr>
                <w:sz w:val="12"/>
              </w:rPr>
              <w:t xml:space="preserve">P=0.683; R=0.846; S=0.574; </w:t>
            </w:r>
            <w:r>
              <w:rPr>
                <w:sz w:val="12"/>
              </w:rPr>
              <w:t>F1=0.756.</w:t>
            </w:r>
          </w:p>
        </w:tc>
        <w:tc>
          <w:tcPr>
            <w:tcW w:w="1612" w:type="dxa"/>
            <w:tcMar>
              <w:top w:w="48" w:type="dxa"/>
              <w:left w:w="48" w:type="dxa"/>
              <w:bottom w:w="48" w:type="dxa"/>
              <w:right w:w="48" w:type="dxa"/>
            </w:tcMar>
            <w:vAlign w:val="top"/>
          </w:tcPr>
          <w:p w14:paraId="60F7787E" w14:textId="77777777" w:rsidR="005C7A72" w:rsidRDefault="009A2A24">
            <w:pPr>
              <w:spacing w:before="0" w:after="0"/>
            </w:pPr>
            <w:r>
              <w:rPr>
                <w:sz w:val="12"/>
              </w:rPr>
              <w:t>FP=403; FN=158; cost=764.5; MR=27.0%.</w:t>
            </w:r>
          </w:p>
        </w:tc>
      </w:tr>
    </w:tbl>
    <w:p w14:paraId="0A10372D" w14:textId="77777777" w:rsidR="005C7A72" w:rsidRDefault="005C7A72">
      <w:pPr>
        <w:pStyle w:val="PARA"/>
      </w:pPr>
    </w:p>
    <w:p w14:paraId="2B2168EE" w14:textId="77777777" w:rsidR="005C7A72" w:rsidRDefault="009A2A24">
      <w:pPr>
        <w:keepNext/>
        <w:spacing w:before="60" w:after="20"/>
        <w:jc w:val="center"/>
      </w:pPr>
      <w:r>
        <w:rPr>
          <w:noProof/>
        </w:rPr>
        <w:drawing>
          <wp:inline distT="0" distB="0" distL="0" distR="0" wp14:anchorId="389EEA5F" wp14:editId="43921C66">
            <wp:extent cx="3063240" cy="178689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ocked_metrics.png"/>
                    <pic:cNvPicPr/>
                  </pic:nvPicPr>
                  <pic:blipFill>
                    <a:blip r:embed="rId16"/>
                    <a:stretch>
                      <a:fillRect/>
                    </a:stretch>
                  </pic:blipFill>
                  <pic:spPr>
                    <a:xfrm>
                      <a:off x="0" y="0"/>
                      <a:ext cx="3063240" cy="1786890"/>
                    </a:xfrm>
                    <a:prstGeom prst="rect">
                      <a:avLst/>
                    </a:prstGeom>
                  </pic:spPr>
                </pic:pic>
              </a:graphicData>
            </a:graphic>
          </wp:inline>
        </w:drawing>
      </w:r>
    </w:p>
    <w:p w14:paraId="3BC3330D" w14:textId="77777777" w:rsidR="005C7A72" w:rsidRDefault="009A2A24">
      <w:pPr>
        <w:pStyle w:val="FigCaption"/>
        <w:keepLines/>
        <w:jc w:val="center"/>
      </w:pPr>
      <w:r>
        <w:t>FIGURE 3. Precision, recall, and specificity for the locked held-out final policies.</w:t>
      </w:r>
    </w:p>
    <w:p w14:paraId="4A8A433A" w14:textId="77777777" w:rsidR="005C7A72" w:rsidRDefault="009A2A24">
      <w:pPr>
        <w:pStyle w:val="PARA"/>
      </w:pPr>
      <w:r>
        <w:t>Table IX is the main final evidence. Taiwan remains harder: precision is 0.529, recall is 0.575, and the manual-review rate is 29.5 percent. HELOC has stronger precision and recall, but specificity is still 0.574, so manual review remains appropriate. Neither final policy should be described as automatic rejection.</w:t>
      </w:r>
    </w:p>
    <w:p w14:paraId="3541E92E" w14:textId="77777777" w:rsidR="005C7A72" w:rsidRDefault="009A2A24">
      <w:pPr>
        <w:pStyle w:val="PARA"/>
        <w:keepNext/>
        <w:spacing w:before="100"/>
      </w:pPr>
      <w:r>
        <w:rPr>
          <w:b/>
          <w:i/>
        </w:rPr>
        <w:t>D. Old threshold vs final manual review</w:t>
      </w:r>
    </w:p>
    <w:p w14:paraId="3C9B4CC6" w14:textId="77777777" w:rsidR="005C7A72" w:rsidRDefault="009A2A24">
      <w:pPr>
        <w:pStyle w:val="TableTitle"/>
        <w:keepNext/>
      </w:pPr>
      <w:r>
        <w:t>TABLE X</w:t>
      </w:r>
    </w:p>
    <w:p w14:paraId="2CDD1136" w14:textId="77777777" w:rsidR="005C7A72" w:rsidRDefault="009A2A24">
      <w:pPr>
        <w:pStyle w:val="TableTitle"/>
        <w:keepNext/>
      </w:pPr>
      <w:r>
        <w:t>OLD AGGRESSIVE POLICY VERSUS FINAL MANUAL-REVIEW POLICY</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692"/>
        <w:gridCol w:w="1468"/>
        <w:gridCol w:w="1512"/>
        <w:gridCol w:w="1296"/>
      </w:tblGrid>
      <w:tr w:rsidR="005C7A72" w14:paraId="437F220F" w14:textId="77777777">
        <w:trPr>
          <w:cantSplit/>
          <w:tblHeader/>
          <w:jc w:val="center"/>
        </w:trPr>
        <w:tc>
          <w:tcPr>
            <w:tcW w:w="691" w:type="dxa"/>
            <w:shd w:val="clear" w:color="auto" w:fill="E9EEF7"/>
            <w:tcMar>
              <w:top w:w="48" w:type="dxa"/>
              <w:left w:w="48" w:type="dxa"/>
              <w:bottom w:w="48" w:type="dxa"/>
              <w:right w:w="48" w:type="dxa"/>
            </w:tcMar>
            <w:vAlign w:val="top"/>
          </w:tcPr>
          <w:p w14:paraId="37EA10D2" w14:textId="77777777" w:rsidR="005C7A72" w:rsidRDefault="009A2A24">
            <w:pPr>
              <w:spacing w:before="0" w:after="0"/>
            </w:pPr>
            <w:r>
              <w:rPr>
                <w:b/>
                <w:sz w:val="12"/>
              </w:rPr>
              <w:t>Data</w:t>
            </w:r>
          </w:p>
        </w:tc>
        <w:tc>
          <w:tcPr>
            <w:tcW w:w="1468" w:type="dxa"/>
            <w:shd w:val="clear" w:color="auto" w:fill="E9EEF7"/>
            <w:tcMar>
              <w:top w:w="48" w:type="dxa"/>
              <w:left w:w="48" w:type="dxa"/>
              <w:bottom w:w="48" w:type="dxa"/>
              <w:right w:w="48" w:type="dxa"/>
            </w:tcMar>
            <w:vAlign w:val="top"/>
          </w:tcPr>
          <w:p w14:paraId="299417B7" w14:textId="77777777" w:rsidR="005C7A72" w:rsidRDefault="009A2A24">
            <w:pPr>
              <w:spacing w:before="0" w:after="0"/>
            </w:pPr>
            <w:r>
              <w:rPr>
                <w:b/>
                <w:sz w:val="12"/>
              </w:rPr>
              <w:t>Old aggressive reference</w:t>
            </w:r>
          </w:p>
        </w:tc>
        <w:tc>
          <w:tcPr>
            <w:tcW w:w="1512" w:type="dxa"/>
            <w:shd w:val="clear" w:color="auto" w:fill="E9EEF7"/>
            <w:tcMar>
              <w:top w:w="48" w:type="dxa"/>
              <w:left w:w="48" w:type="dxa"/>
              <w:bottom w:w="48" w:type="dxa"/>
              <w:right w:w="48" w:type="dxa"/>
            </w:tcMar>
            <w:vAlign w:val="top"/>
          </w:tcPr>
          <w:p w14:paraId="315E8FA3" w14:textId="77777777" w:rsidR="005C7A72" w:rsidRDefault="009A2A24">
            <w:pPr>
              <w:spacing w:before="0" w:after="0"/>
            </w:pPr>
            <w:r>
              <w:rPr>
                <w:b/>
                <w:sz w:val="12"/>
              </w:rPr>
              <w:t>Final manual-review policy</w:t>
            </w:r>
          </w:p>
        </w:tc>
        <w:tc>
          <w:tcPr>
            <w:tcW w:w="1296" w:type="dxa"/>
            <w:shd w:val="clear" w:color="auto" w:fill="E9EEF7"/>
            <w:tcMar>
              <w:top w:w="48" w:type="dxa"/>
              <w:left w:w="48" w:type="dxa"/>
              <w:bottom w:w="48" w:type="dxa"/>
              <w:right w:w="48" w:type="dxa"/>
            </w:tcMar>
            <w:vAlign w:val="top"/>
          </w:tcPr>
          <w:p w14:paraId="13B936FC" w14:textId="77777777" w:rsidR="005C7A72" w:rsidRDefault="009A2A24">
            <w:pPr>
              <w:spacing w:before="0" w:after="0"/>
            </w:pPr>
            <w:r>
              <w:rPr>
                <w:b/>
                <w:sz w:val="12"/>
              </w:rPr>
              <w:t>Main change</w:t>
            </w:r>
          </w:p>
        </w:tc>
      </w:tr>
      <w:tr w:rsidR="005C7A72" w14:paraId="214EB72C" w14:textId="77777777">
        <w:trPr>
          <w:cantSplit/>
          <w:jc w:val="center"/>
        </w:trPr>
        <w:tc>
          <w:tcPr>
            <w:tcW w:w="691" w:type="dxa"/>
            <w:tcMar>
              <w:top w:w="48" w:type="dxa"/>
              <w:left w:w="48" w:type="dxa"/>
              <w:bottom w:w="48" w:type="dxa"/>
              <w:right w:w="48" w:type="dxa"/>
            </w:tcMar>
            <w:vAlign w:val="top"/>
          </w:tcPr>
          <w:p w14:paraId="7F4A8258" w14:textId="77777777" w:rsidR="005C7A72" w:rsidRDefault="009A2A24">
            <w:pPr>
              <w:spacing w:before="0" w:after="0"/>
            </w:pPr>
            <w:r>
              <w:rPr>
                <w:sz w:val="12"/>
              </w:rPr>
              <w:t>Taiwan</w:t>
            </w:r>
          </w:p>
        </w:tc>
        <w:tc>
          <w:tcPr>
            <w:tcW w:w="1468" w:type="dxa"/>
            <w:tcMar>
              <w:top w:w="48" w:type="dxa"/>
              <w:left w:w="48" w:type="dxa"/>
              <w:bottom w:w="48" w:type="dxa"/>
              <w:right w:w="48" w:type="dxa"/>
            </w:tcMar>
            <w:vAlign w:val="top"/>
          </w:tcPr>
          <w:p w14:paraId="6877758F" w14:textId="77777777" w:rsidR="005C7A72" w:rsidRDefault="009A2A24">
            <w:pPr>
              <w:spacing w:before="0" w:after="0"/>
            </w:pPr>
            <w:r>
              <w:rPr>
                <w:sz w:val="12"/>
              </w:rPr>
              <w:t>CatBoost threshold: P=0.351; R=0.809; S=0.576; FP=1,982; cost=3247.</w:t>
            </w:r>
          </w:p>
        </w:tc>
        <w:tc>
          <w:tcPr>
            <w:tcW w:w="1512" w:type="dxa"/>
            <w:tcMar>
              <w:top w:w="48" w:type="dxa"/>
              <w:left w:w="48" w:type="dxa"/>
              <w:bottom w:w="48" w:type="dxa"/>
              <w:right w:w="48" w:type="dxa"/>
            </w:tcMar>
            <w:vAlign w:val="top"/>
          </w:tcPr>
          <w:p w14:paraId="49E5D813" w14:textId="77777777" w:rsidR="005C7A72" w:rsidRDefault="009A2A24">
            <w:pPr>
              <w:spacing w:before="0" w:after="0"/>
            </w:pPr>
            <w:r>
              <w:rPr>
                <w:sz w:val="12"/>
              </w:rPr>
              <w:t xml:space="preserve">CatBoost manual review: P=0.529; R=0.575; </w:t>
            </w:r>
            <w:r>
              <w:rPr>
                <w:sz w:val="12"/>
              </w:rPr>
              <w:t>S=0.854; FP=680; cost=2705.5.</w:t>
            </w:r>
          </w:p>
        </w:tc>
        <w:tc>
          <w:tcPr>
            <w:tcW w:w="1296" w:type="dxa"/>
            <w:tcMar>
              <w:top w:w="48" w:type="dxa"/>
              <w:left w:w="48" w:type="dxa"/>
              <w:bottom w:w="48" w:type="dxa"/>
              <w:right w:w="48" w:type="dxa"/>
            </w:tcMar>
            <w:vAlign w:val="top"/>
          </w:tcPr>
          <w:p w14:paraId="119F24AD" w14:textId="77777777" w:rsidR="005C7A72" w:rsidRDefault="009A2A24">
            <w:pPr>
              <w:spacing w:before="0" w:after="0"/>
            </w:pPr>
            <w:r>
              <w:rPr>
                <w:sz w:val="12"/>
              </w:rPr>
              <w:t>False positives reduced by 1,302; cost reduced by 541.5.</w:t>
            </w:r>
          </w:p>
        </w:tc>
      </w:tr>
      <w:tr w:rsidR="005C7A72" w14:paraId="623DC85D" w14:textId="77777777">
        <w:trPr>
          <w:cantSplit/>
          <w:jc w:val="center"/>
        </w:trPr>
        <w:tc>
          <w:tcPr>
            <w:tcW w:w="691" w:type="dxa"/>
            <w:tcMar>
              <w:top w:w="48" w:type="dxa"/>
              <w:left w:w="48" w:type="dxa"/>
              <w:bottom w:w="48" w:type="dxa"/>
              <w:right w:w="48" w:type="dxa"/>
            </w:tcMar>
            <w:vAlign w:val="top"/>
          </w:tcPr>
          <w:p w14:paraId="63D5E0E8" w14:textId="77777777" w:rsidR="005C7A72" w:rsidRDefault="009A2A24">
            <w:pPr>
              <w:spacing w:before="0" w:after="0"/>
            </w:pPr>
            <w:r>
              <w:rPr>
                <w:sz w:val="12"/>
              </w:rPr>
              <w:t>HELOC</w:t>
            </w:r>
          </w:p>
        </w:tc>
        <w:tc>
          <w:tcPr>
            <w:tcW w:w="1468" w:type="dxa"/>
            <w:tcMar>
              <w:top w:w="48" w:type="dxa"/>
              <w:left w:w="48" w:type="dxa"/>
              <w:bottom w:w="48" w:type="dxa"/>
              <w:right w:w="48" w:type="dxa"/>
            </w:tcMar>
            <w:vAlign w:val="top"/>
          </w:tcPr>
          <w:p w14:paraId="1F2220E4" w14:textId="77777777" w:rsidR="005C7A72" w:rsidRDefault="009A2A24">
            <w:pPr>
              <w:spacing w:before="0" w:after="0"/>
            </w:pPr>
            <w:r>
              <w:rPr>
                <w:sz w:val="12"/>
              </w:rPr>
              <w:t>Aggressive CatBoost reference: P=0.558; R=0.981; S=0.157; FP=798; cost=898.</w:t>
            </w:r>
          </w:p>
        </w:tc>
        <w:tc>
          <w:tcPr>
            <w:tcW w:w="1512" w:type="dxa"/>
            <w:tcMar>
              <w:top w:w="48" w:type="dxa"/>
              <w:left w:w="48" w:type="dxa"/>
              <w:bottom w:w="48" w:type="dxa"/>
              <w:right w:w="48" w:type="dxa"/>
            </w:tcMar>
            <w:vAlign w:val="top"/>
          </w:tcPr>
          <w:p w14:paraId="7B5480EC" w14:textId="77777777" w:rsidR="005C7A72" w:rsidRDefault="009A2A24">
            <w:pPr>
              <w:spacing w:before="0" w:after="0"/>
            </w:pPr>
            <w:r>
              <w:rPr>
                <w:sz w:val="12"/>
              </w:rPr>
              <w:t>Scorecard manual review: P=0.683; R=0.846; S=0.574; FP=403; cost=764.5.</w:t>
            </w:r>
          </w:p>
        </w:tc>
        <w:tc>
          <w:tcPr>
            <w:tcW w:w="1296" w:type="dxa"/>
            <w:tcMar>
              <w:top w:w="48" w:type="dxa"/>
              <w:left w:w="48" w:type="dxa"/>
              <w:bottom w:w="48" w:type="dxa"/>
              <w:right w:w="48" w:type="dxa"/>
            </w:tcMar>
            <w:vAlign w:val="top"/>
          </w:tcPr>
          <w:p w14:paraId="73E2E37B" w14:textId="77777777" w:rsidR="005C7A72" w:rsidRDefault="009A2A24">
            <w:pPr>
              <w:spacing w:before="0" w:after="0"/>
            </w:pPr>
            <w:r>
              <w:rPr>
                <w:sz w:val="12"/>
              </w:rPr>
              <w:t xml:space="preserve">False </w:t>
            </w:r>
            <w:r>
              <w:rPr>
                <w:sz w:val="12"/>
              </w:rPr>
              <w:t>positives reduced by 395; cost reduced by 133.5.</w:t>
            </w:r>
          </w:p>
        </w:tc>
      </w:tr>
    </w:tbl>
    <w:p w14:paraId="773C7A2A" w14:textId="77777777" w:rsidR="005C7A72" w:rsidRDefault="005C7A72">
      <w:pPr>
        <w:pStyle w:val="PARA"/>
      </w:pPr>
    </w:p>
    <w:p w14:paraId="66278A0D" w14:textId="77777777" w:rsidR="005C7A72" w:rsidRDefault="009A2A24">
      <w:pPr>
        <w:keepNext/>
        <w:spacing w:before="60" w:after="20"/>
        <w:jc w:val="center"/>
      </w:pPr>
      <w:r>
        <w:rPr>
          <w:noProof/>
        </w:rPr>
        <w:drawing>
          <wp:inline distT="0" distB="0" distL="0" distR="0" wp14:anchorId="57583F62" wp14:editId="6F8473A2">
            <wp:extent cx="3063240" cy="178689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p_cost_reduction.png"/>
                    <pic:cNvPicPr/>
                  </pic:nvPicPr>
                  <pic:blipFill>
                    <a:blip r:embed="rId17"/>
                    <a:stretch>
                      <a:fillRect/>
                    </a:stretch>
                  </pic:blipFill>
                  <pic:spPr>
                    <a:xfrm>
                      <a:off x="0" y="0"/>
                      <a:ext cx="3063240" cy="1786890"/>
                    </a:xfrm>
                    <a:prstGeom prst="rect">
                      <a:avLst/>
                    </a:prstGeom>
                  </pic:spPr>
                </pic:pic>
              </a:graphicData>
            </a:graphic>
          </wp:inline>
        </w:drawing>
      </w:r>
    </w:p>
    <w:p w14:paraId="15E80B0A" w14:textId="77777777" w:rsidR="005C7A72" w:rsidRDefault="009A2A24">
      <w:pPr>
        <w:pStyle w:val="FigCaption"/>
        <w:keepLines/>
        <w:jc w:val="center"/>
      </w:pPr>
      <w:r>
        <w:t>FIGURE 4. False-positive and cost reduction versus the old aggressive threshold.</w:t>
      </w:r>
    </w:p>
    <w:p w14:paraId="01FC2AD8" w14:textId="77777777" w:rsidR="005C7A72" w:rsidRDefault="009A2A24">
      <w:pPr>
        <w:pStyle w:val="PARA"/>
      </w:pPr>
      <w:r>
        <w:t>The old policy caught more defaults but created a large false-positive burden. The final manual-review policy accepts a less aggressive recall profile in exchange for substantially better precision, specificity, and review-adjusted cost. This is the key operational improvement of the project.</w:t>
      </w:r>
    </w:p>
    <w:p w14:paraId="42045A63" w14:textId="77777777" w:rsidR="005C7A72" w:rsidRDefault="009A2A24">
      <w:pPr>
        <w:pStyle w:val="H1ListSpace"/>
      </w:pPr>
      <w:r>
        <w:t>ROBUSTNESS, EXPLAINABILITY, AND AUDIT</w:t>
      </w:r>
    </w:p>
    <w:p w14:paraId="3C0C7177" w14:textId="77777777" w:rsidR="005C7A72" w:rsidRDefault="009A2A24">
      <w:pPr>
        <w:pStyle w:val="PARA"/>
        <w:keepNext/>
        <w:spacing w:before="60"/>
      </w:pPr>
      <w:r>
        <w:rPr>
          <w:b/>
          <w:i/>
        </w:rPr>
        <w:t>A. Final-attempt stress tests</w:t>
      </w:r>
    </w:p>
    <w:p w14:paraId="4469C97B" w14:textId="77777777" w:rsidR="005C7A72" w:rsidRDefault="009A2A24">
      <w:pPr>
        <w:pStyle w:val="TableTitle"/>
        <w:keepNext/>
      </w:pPr>
      <w:r>
        <w:t>TABLE XI</w:t>
      </w:r>
    </w:p>
    <w:p w14:paraId="29635910" w14:textId="77777777" w:rsidR="005C7A72" w:rsidRDefault="009A2A24">
      <w:pPr>
        <w:pStyle w:val="TableTitle"/>
        <w:keepNext/>
      </w:pPr>
      <w:r>
        <w:t>SUPPORTING ROBUSTNESS AND NEGATIVE-RESULT EVIDENCE</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1268"/>
        <w:gridCol w:w="1944"/>
        <w:gridCol w:w="1756"/>
      </w:tblGrid>
      <w:tr w:rsidR="005C7A72" w14:paraId="5F191212" w14:textId="77777777">
        <w:trPr>
          <w:cantSplit/>
          <w:tblHeader/>
          <w:jc w:val="center"/>
        </w:trPr>
        <w:tc>
          <w:tcPr>
            <w:tcW w:w="1267" w:type="dxa"/>
            <w:shd w:val="clear" w:color="auto" w:fill="E9EEF7"/>
            <w:tcMar>
              <w:top w:w="48" w:type="dxa"/>
              <w:left w:w="48" w:type="dxa"/>
              <w:bottom w:w="48" w:type="dxa"/>
              <w:right w:w="48" w:type="dxa"/>
            </w:tcMar>
            <w:vAlign w:val="top"/>
          </w:tcPr>
          <w:p w14:paraId="635C8B6F" w14:textId="77777777" w:rsidR="005C7A72" w:rsidRDefault="009A2A24">
            <w:pPr>
              <w:spacing w:before="0" w:after="0"/>
            </w:pPr>
            <w:r>
              <w:rPr>
                <w:b/>
                <w:sz w:val="12"/>
              </w:rPr>
              <w:t>Stress test</w:t>
            </w:r>
          </w:p>
        </w:tc>
        <w:tc>
          <w:tcPr>
            <w:tcW w:w="1944" w:type="dxa"/>
            <w:shd w:val="clear" w:color="auto" w:fill="E9EEF7"/>
            <w:tcMar>
              <w:top w:w="48" w:type="dxa"/>
              <w:left w:w="48" w:type="dxa"/>
              <w:bottom w:w="48" w:type="dxa"/>
              <w:right w:w="48" w:type="dxa"/>
            </w:tcMar>
            <w:vAlign w:val="top"/>
          </w:tcPr>
          <w:p w14:paraId="705E0C3F" w14:textId="77777777" w:rsidR="005C7A72" w:rsidRDefault="009A2A24">
            <w:pPr>
              <w:spacing w:before="0" w:after="0"/>
            </w:pPr>
            <w:r>
              <w:rPr>
                <w:b/>
                <w:sz w:val="12"/>
              </w:rPr>
              <w:t>Best or notable result</w:t>
            </w:r>
          </w:p>
        </w:tc>
        <w:tc>
          <w:tcPr>
            <w:tcW w:w="1756" w:type="dxa"/>
            <w:shd w:val="clear" w:color="auto" w:fill="E9EEF7"/>
            <w:tcMar>
              <w:top w:w="48" w:type="dxa"/>
              <w:left w:w="48" w:type="dxa"/>
              <w:bottom w:w="48" w:type="dxa"/>
              <w:right w:w="48" w:type="dxa"/>
            </w:tcMar>
            <w:vAlign w:val="top"/>
          </w:tcPr>
          <w:p w14:paraId="6308AE71" w14:textId="77777777" w:rsidR="005C7A72" w:rsidRDefault="009A2A24">
            <w:pPr>
              <w:spacing w:before="0" w:after="0"/>
            </w:pPr>
            <w:r>
              <w:rPr>
                <w:b/>
                <w:sz w:val="12"/>
              </w:rPr>
              <w:t>Report interpretation</w:t>
            </w:r>
          </w:p>
        </w:tc>
      </w:tr>
      <w:tr w:rsidR="005C7A72" w14:paraId="21A1814E" w14:textId="77777777">
        <w:trPr>
          <w:cantSplit/>
          <w:jc w:val="center"/>
        </w:trPr>
        <w:tc>
          <w:tcPr>
            <w:tcW w:w="1267" w:type="dxa"/>
            <w:tcMar>
              <w:top w:w="48" w:type="dxa"/>
              <w:left w:w="48" w:type="dxa"/>
              <w:bottom w:w="48" w:type="dxa"/>
              <w:right w:w="48" w:type="dxa"/>
            </w:tcMar>
            <w:vAlign w:val="top"/>
          </w:tcPr>
          <w:p w14:paraId="5FD72164" w14:textId="77777777" w:rsidR="005C7A72" w:rsidRDefault="009A2A24">
            <w:pPr>
              <w:spacing w:before="0" w:after="0"/>
            </w:pPr>
            <w:r>
              <w:rPr>
                <w:sz w:val="12"/>
              </w:rPr>
              <w:t>Strict literature reproduction</w:t>
            </w:r>
          </w:p>
        </w:tc>
        <w:tc>
          <w:tcPr>
            <w:tcW w:w="1944" w:type="dxa"/>
            <w:tcMar>
              <w:top w:w="48" w:type="dxa"/>
              <w:left w:w="48" w:type="dxa"/>
              <w:bottom w:w="48" w:type="dxa"/>
              <w:right w:w="48" w:type="dxa"/>
            </w:tcMar>
            <w:vAlign w:val="top"/>
          </w:tcPr>
          <w:p w14:paraId="5B28E5E6" w14:textId="77777777" w:rsidR="005C7A72" w:rsidRDefault="009A2A24">
            <w:pPr>
              <w:spacing w:before="0" w:after="0"/>
            </w:pPr>
            <w:r>
              <w:rPr>
                <w:sz w:val="12"/>
              </w:rPr>
              <w:t>Taiwan XGBoost no-resampling PR=0.564, AUC=0.789, cost=3209; HELOC CatBoost balanced PR=0.799, AUC=0.803, cost=873.</w:t>
            </w:r>
          </w:p>
        </w:tc>
        <w:tc>
          <w:tcPr>
            <w:tcW w:w="1756" w:type="dxa"/>
            <w:tcMar>
              <w:top w:w="48" w:type="dxa"/>
              <w:left w:w="48" w:type="dxa"/>
              <w:bottom w:w="48" w:type="dxa"/>
              <w:right w:w="48" w:type="dxa"/>
            </w:tcMar>
            <w:vAlign w:val="top"/>
          </w:tcPr>
          <w:p w14:paraId="4B0889F6" w14:textId="77777777" w:rsidR="005C7A72" w:rsidRDefault="009A2A24">
            <w:pPr>
              <w:spacing w:before="0" w:after="0"/>
            </w:pPr>
            <w:r>
              <w:rPr>
                <w:sz w:val="12"/>
              </w:rPr>
              <w:t xml:space="preserve">Useful </w:t>
            </w:r>
            <w:r>
              <w:rPr>
                <w:sz w:val="12"/>
              </w:rPr>
              <w:t>reproduction check, but did not replace the audited final system under the locked protocol.</w:t>
            </w:r>
          </w:p>
        </w:tc>
      </w:tr>
      <w:tr w:rsidR="005C7A72" w14:paraId="69FD3E0F" w14:textId="77777777">
        <w:trPr>
          <w:cantSplit/>
          <w:jc w:val="center"/>
        </w:trPr>
        <w:tc>
          <w:tcPr>
            <w:tcW w:w="1267" w:type="dxa"/>
            <w:tcMar>
              <w:top w:w="48" w:type="dxa"/>
              <w:left w:w="48" w:type="dxa"/>
              <w:bottom w:w="48" w:type="dxa"/>
              <w:right w:w="48" w:type="dxa"/>
            </w:tcMar>
            <w:vAlign w:val="top"/>
          </w:tcPr>
          <w:p w14:paraId="4BEA4622" w14:textId="77777777" w:rsidR="005C7A72" w:rsidRDefault="009A2A24">
            <w:pPr>
              <w:spacing w:before="0" w:after="0"/>
            </w:pPr>
            <w:r>
              <w:rPr>
                <w:sz w:val="12"/>
              </w:rPr>
              <w:t>Advanced imbalance boosting</w:t>
            </w:r>
          </w:p>
        </w:tc>
        <w:tc>
          <w:tcPr>
            <w:tcW w:w="1944" w:type="dxa"/>
            <w:tcMar>
              <w:top w:w="48" w:type="dxa"/>
              <w:left w:w="48" w:type="dxa"/>
              <w:bottom w:w="48" w:type="dxa"/>
              <w:right w:w="48" w:type="dxa"/>
            </w:tcMar>
            <w:vAlign w:val="top"/>
          </w:tcPr>
          <w:p w14:paraId="7591540D" w14:textId="77777777" w:rsidR="005C7A72" w:rsidRDefault="009A2A24">
            <w:pPr>
              <w:spacing w:before="0" w:after="0"/>
            </w:pPr>
            <w:r>
              <w:rPr>
                <w:sz w:val="12"/>
              </w:rPr>
              <w:t>Taiwan XGBoost scale_pos_weight_5 cost=2648.5 on validation; HELOC CatBoost baseline cost=747.</w:t>
            </w:r>
          </w:p>
        </w:tc>
        <w:tc>
          <w:tcPr>
            <w:tcW w:w="1756" w:type="dxa"/>
            <w:tcMar>
              <w:top w:w="48" w:type="dxa"/>
              <w:left w:w="48" w:type="dxa"/>
              <w:bottom w:w="48" w:type="dxa"/>
              <w:right w:w="48" w:type="dxa"/>
            </w:tcMar>
            <w:vAlign w:val="top"/>
          </w:tcPr>
          <w:p w14:paraId="63525E6C" w14:textId="77777777" w:rsidR="005C7A72" w:rsidRDefault="009A2A24">
            <w:pPr>
              <w:spacing w:before="0" w:after="0"/>
            </w:pPr>
            <w:r>
              <w:rPr>
                <w:sz w:val="12"/>
              </w:rPr>
              <w:t xml:space="preserve">Found strong candidates, but final </w:t>
            </w:r>
            <w:r>
              <w:rPr>
                <w:sz w:val="12"/>
              </w:rPr>
              <w:t>audit and policy consistency favored the revised manual-review system as the main evidence.</w:t>
            </w:r>
          </w:p>
        </w:tc>
      </w:tr>
      <w:tr w:rsidR="005C7A72" w14:paraId="6780A402" w14:textId="77777777">
        <w:trPr>
          <w:cantSplit/>
          <w:jc w:val="center"/>
        </w:trPr>
        <w:tc>
          <w:tcPr>
            <w:tcW w:w="1267" w:type="dxa"/>
            <w:tcMar>
              <w:top w:w="48" w:type="dxa"/>
              <w:left w:w="48" w:type="dxa"/>
              <w:bottom w:w="48" w:type="dxa"/>
              <w:right w:w="48" w:type="dxa"/>
            </w:tcMar>
            <w:vAlign w:val="top"/>
          </w:tcPr>
          <w:p w14:paraId="3342A3B6" w14:textId="77777777" w:rsidR="005C7A72" w:rsidRDefault="009A2A24">
            <w:pPr>
              <w:spacing w:before="0" w:after="0"/>
            </w:pPr>
            <w:r>
              <w:rPr>
                <w:sz w:val="12"/>
              </w:rPr>
              <w:t>Deep tabular MLP</w:t>
            </w:r>
          </w:p>
        </w:tc>
        <w:tc>
          <w:tcPr>
            <w:tcW w:w="1944" w:type="dxa"/>
            <w:tcMar>
              <w:top w:w="48" w:type="dxa"/>
              <w:left w:w="48" w:type="dxa"/>
              <w:bottom w:w="48" w:type="dxa"/>
              <w:right w:w="48" w:type="dxa"/>
            </w:tcMar>
            <w:vAlign w:val="top"/>
          </w:tcPr>
          <w:p w14:paraId="1E8F43ED" w14:textId="77777777" w:rsidR="005C7A72" w:rsidRDefault="009A2A24">
            <w:pPr>
              <w:spacing w:before="0" w:after="0"/>
            </w:pPr>
            <w:r>
              <w:rPr>
                <w:sz w:val="12"/>
              </w:rPr>
              <w:t>Taiwan MLP PR=0.552, AUC=0.780; HELOC MLP PR=0.811, AUC=0.804, but high binary costs at 0.50 thresholds.</w:t>
            </w:r>
          </w:p>
        </w:tc>
        <w:tc>
          <w:tcPr>
            <w:tcW w:w="1756" w:type="dxa"/>
            <w:tcMar>
              <w:top w:w="48" w:type="dxa"/>
              <w:left w:w="48" w:type="dxa"/>
              <w:bottom w:w="48" w:type="dxa"/>
              <w:right w:w="48" w:type="dxa"/>
            </w:tcMar>
            <w:vAlign w:val="top"/>
          </w:tcPr>
          <w:p w14:paraId="792DA785" w14:textId="77777777" w:rsidR="005C7A72" w:rsidRDefault="009A2A24">
            <w:pPr>
              <w:spacing w:before="0" w:after="0"/>
            </w:pPr>
            <w:r>
              <w:rPr>
                <w:sz w:val="12"/>
              </w:rPr>
              <w:t>Shows deep models were tried; they did not become the safest operational winner.</w:t>
            </w:r>
          </w:p>
        </w:tc>
      </w:tr>
      <w:tr w:rsidR="005C7A72" w14:paraId="6C783F37" w14:textId="77777777">
        <w:trPr>
          <w:cantSplit/>
          <w:jc w:val="center"/>
        </w:trPr>
        <w:tc>
          <w:tcPr>
            <w:tcW w:w="1267" w:type="dxa"/>
            <w:tcMar>
              <w:top w:w="48" w:type="dxa"/>
              <w:left w:w="48" w:type="dxa"/>
              <w:bottom w:w="48" w:type="dxa"/>
              <w:right w:w="48" w:type="dxa"/>
            </w:tcMar>
            <w:vAlign w:val="top"/>
          </w:tcPr>
          <w:p w14:paraId="4D20C2F5" w14:textId="77777777" w:rsidR="005C7A72" w:rsidRDefault="009A2A24">
            <w:pPr>
              <w:spacing w:before="0" w:after="0"/>
            </w:pPr>
            <w:r>
              <w:rPr>
                <w:sz w:val="12"/>
              </w:rPr>
              <w:t>Interpretable middle models</w:t>
            </w:r>
          </w:p>
        </w:tc>
        <w:tc>
          <w:tcPr>
            <w:tcW w:w="1944" w:type="dxa"/>
            <w:tcMar>
              <w:top w:w="48" w:type="dxa"/>
              <w:left w:w="48" w:type="dxa"/>
              <w:bottom w:w="48" w:type="dxa"/>
              <w:right w:w="48" w:type="dxa"/>
            </w:tcMar>
            <w:vAlign w:val="top"/>
          </w:tcPr>
          <w:p w14:paraId="7CE40FDC" w14:textId="77777777" w:rsidR="005C7A72" w:rsidRDefault="009A2A24">
            <w:pPr>
              <w:spacing w:before="0" w:after="0"/>
            </w:pPr>
            <w:r>
              <w:rPr>
                <w:sz w:val="12"/>
              </w:rPr>
              <w:t>EBM, monotonic boosting, and scorecards produced competitive manual-review rows.</w:t>
            </w:r>
          </w:p>
        </w:tc>
        <w:tc>
          <w:tcPr>
            <w:tcW w:w="1756" w:type="dxa"/>
            <w:tcMar>
              <w:top w:w="48" w:type="dxa"/>
              <w:left w:w="48" w:type="dxa"/>
              <w:bottom w:w="48" w:type="dxa"/>
              <w:right w:w="48" w:type="dxa"/>
            </w:tcMar>
            <w:vAlign w:val="top"/>
          </w:tcPr>
          <w:p w14:paraId="5441697A" w14:textId="77777777" w:rsidR="005C7A72" w:rsidRDefault="009A2A24">
            <w:pPr>
              <w:spacing w:before="0" w:after="0"/>
            </w:pPr>
            <w:r>
              <w:rPr>
                <w:sz w:val="12"/>
              </w:rPr>
              <w:t>Supports governance discussion and HELOC scorecard choice.</w:t>
            </w:r>
          </w:p>
        </w:tc>
      </w:tr>
      <w:tr w:rsidR="005C7A72" w14:paraId="262EB90F" w14:textId="77777777">
        <w:trPr>
          <w:cantSplit/>
          <w:jc w:val="center"/>
        </w:trPr>
        <w:tc>
          <w:tcPr>
            <w:tcW w:w="1267" w:type="dxa"/>
            <w:tcMar>
              <w:top w:w="48" w:type="dxa"/>
              <w:left w:w="48" w:type="dxa"/>
              <w:bottom w:w="48" w:type="dxa"/>
              <w:right w:w="48" w:type="dxa"/>
            </w:tcMar>
            <w:vAlign w:val="top"/>
          </w:tcPr>
          <w:p w14:paraId="5C1E0F46" w14:textId="77777777" w:rsidR="005C7A72" w:rsidRDefault="009A2A24">
            <w:pPr>
              <w:spacing w:before="0" w:after="0"/>
            </w:pPr>
            <w:r>
              <w:rPr>
                <w:sz w:val="12"/>
              </w:rPr>
              <w:t>Decision curves</w:t>
            </w:r>
          </w:p>
        </w:tc>
        <w:tc>
          <w:tcPr>
            <w:tcW w:w="1944" w:type="dxa"/>
            <w:tcMar>
              <w:top w:w="48" w:type="dxa"/>
              <w:left w:w="48" w:type="dxa"/>
              <w:bottom w:w="48" w:type="dxa"/>
              <w:right w:w="48" w:type="dxa"/>
            </w:tcMar>
            <w:vAlign w:val="top"/>
          </w:tcPr>
          <w:p w14:paraId="083CD8A9" w14:textId="77777777" w:rsidR="005C7A72" w:rsidRDefault="009A2A24">
            <w:pPr>
              <w:spacing w:before="0" w:after="0"/>
            </w:pPr>
            <w:r>
              <w:rPr>
                <w:sz w:val="12"/>
              </w:rPr>
              <w:t>Useful threshold ranges remained broad for probability-ranking models.</w:t>
            </w:r>
          </w:p>
        </w:tc>
        <w:tc>
          <w:tcPr>
            <w:tcW w:w="1756" w:type="dxa"/>
            <w:tcMar>
              <w:top w:w="48" w:type="dxa"/>
              <w:left w:w="48" w:type="dxa"/>
              <w:bottom w:w="48" w:type="dxa"/>
              <w:right w:w="48" w:type="dxa"/>
            </w:tcMar>
            <w:vAlign w:val="top"/>
          </w:tcPr>
          <w:p w14:paraId="215071E9" w14:textId="77777777" w:rsidR="005C7A72" w:rsidRDefault="009A2A24">
            <w:pPr>
              <w:spacing w:before="0" w:after="0"/>
            </w:pPr>
            <w:r>
              <w:rPr>
                <w:sz w:val="12"/>
              </w:rPr>
              <w:t>Supports decision-support framing, not automatic rejection.</w:t>
            </w:r>
          </w:p>
        </w:tc>
      </w:tr>
    </w:tbl>
    <w:p w14:paraId="697E3DE0" w14:textId="77777777" w:rsidR="005C7A72" w:rsidRDefault="005C7A72">
      <w:pPr>
        <w:pStyle w:val="PARA"/>
      </w:pPr>
    </w:p>
    <w:p w14:paraId="2B18BAE1" w14:textId="77777777" w:rsidR="005C7A72" w:rsidRDefault="009A2A24">
      <w:pPr>
        <w:pStyle w:val="PARA"/>
      </w:pPr>
      <w:r>
        <w:t>The earlier final-attempt audit exposed metric-consistency problems in several manual-review rows. During the final weakness-closing phase, these rows were repaired with explicit 3x2 manual-review bucket tables. The repaired alternatives were useful as robustness evidence, but they still did not provide an audit-ready operational replacement for the final revised V2 policies. Therefore, Final Attempt is retained as appendix evidence rather than final main evidence.</w:t>
      </w:r>
    </w:p>
    <w:p w14:paraId="6EC610EB" w14:textId="77777777" w:rsidR="005C7A72" w:rsidRDefault="009A2A24">
      <w:pPr>
        <w:pStyle w:val="PARA"/>
        <w:keepNext/>
        <w:spacing w:before="100"/>
      </w:pPr>
      <w:r>
        <w:rPr>
          <w:b/>
          <w:i/>
        </w:rPr>
        <w:t>B. Capacity-aware review</w:t>
      </w:r>
    </w:p>
    <w:p w14:paraId="3F83F6A4" w14:textId="77777777" w:rsidR="005C7A72" w:rsidRDefault="009A2A24">
      <w:pPr>
        <w:keepNext/>
        <w:spacing w:before="60" w:after="20"/>
        <w:jc w:val="center"/>
      </w:pPr>
      <w:r>
        <w:rPr>
          <w:noProof/>
        </w:rPr>
        <w:drawing>
          <wp:inline distT="0" distB="0" distL="0" distR="0" wp14:anchorId="4754F04F" wp14:editId="2093D441">
            <wp:extent cx="3063240" cy="178689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apacity_review.png"/>
                    <pic:cNvPicPr/>
                  </pic:nvPicPr>
                  <pic:blipFill>
                    <a:blip r:embed="rId18"/>
                    <a:stretch>
                      <a:fillRect/>
                    </a:stretch>
                  </pic:blipFill>
                  <pic:spPr>
                    <a:xfrm>
                      <a:off x="0" y="0"/>
                      <a:ext cx="3063240" cy="1786890"/>
                    </a:xfrm>
                    <a:prstGeom prst="rect">
                      <a:avLst/>
                    </a:prstGeom>
                  </pic:spPr>
                </pic:pic>
              </a:graphicData>
            </a:graphic>
          </wp:inline>
        </w:drawing>
      </w:r>
    </w:p>
    <w:p w14:paraId="4499C160" w14:textId="77777777" w:rsidR="005C7A72" w:rsidRDefault="009A2A24">
      <w:pPr>
        <w:pStyle w:val="FigCaption"/>
        <w:keepLines/>
        <w:jc w:val="center"/>
      </w:pPr>
      <w:r>
        <w:t>FIGURE 5. SCRE-Optimized review-prioritization capture at top review capacities.</w:t>
      </w:r>
    </w:p>
    <w:p w14:paraId="599C6ADF" w14:textId="77777777" w:rsidR="005C7A72" w:rsidRDefault="009A2A24">
      <w:pPr>
        <w:pStyle w:val="PARA"/>
      </w:pPr>
      <w:r>
        <w:t>Capacity-aware results support the same interpretation. On validation, SCRE-Optimized captured 52.9 percent of Taiwan defaults in the top 20 percent review queue and 34.0 percent of HELOC bad cases in the top 20 percent review queue, with lift@20 of 2.65 and 1.70, respectively. This is useful for prioritizing review capacity, but it is not an automatic decision rule.</w:t>
      </w:r>
    </w:p>
    <w:p>
      <w:pPr>
        <w:pStyle w:val="PARA"/>
      </w:pPr>
      <w:r>
        <w:t>C. Weakness-closing analysis</w:t>
      </w:r>
    </w:p>
    <w:p>
      <w:pPr>
        <w:pStyle w:val="TableTitle"/>
      </w:pPr>
      <w:r>
        <w:t>TABLE XII</w:t>
      </w:r>
    </w:p>
    <w:p>
      <w:pPr>
        <w:pStyle w:val="TableTitle"/>
      </w:pPr>
      <w:r>
        <w:t>WEAKNESS-CLOSING SUMMARY</w:t>
      </w:r>
    </w:p>
    <w:tbl>
      <w:tblPr>
        <w:tblW w:type="auto" w:w="0"/>
        <w:jc w:val="center"/>
        <w:tblLayout w:type="autofit"/>
        <w:tblLook w:firstColumn="1" w:firstRow="1" w:lastColumn="0" w:lastRow="0" w:noHBand="0" w:noVBand="1" w:val="04A0"/>
      </w:tblPr>
      <w:tblGrid>
        <w:gridCol w:w="3347"/>
        <w:gridCol w:w="3347"/>
        <w:gridCol w:w="3347"/>
      </w:tblGrid>
      <w:tr>
        <w:tc>
          <w:tcPr>
            <w:tcW w:type="dxa" w:w="3347"/>
            <w:vAlign w:val="top"/>
          </w:tcPr>
          <w:p>
            <w:pPr>
              <w:spacing w:before="0" w:after="0"/>
            </w:pPr>
            <w:r>
              <w:rPr>
                <w:sz w:val="12"/>
              </w:rPr>
            </w:r>
            <w:r>
              <w:rPr>
                <w:b/>
                <w:sz w:val="12"/>
              </w:rPr>
              <w:t>Weakness</w:t>
            </w:r>
          </w:p>
        </w:tc>
        <w:tc>
          <w:tcPr>
            <w:tcW w:type="dxa" w:w="3347"/>
            <w:vAlign w:val="top"/>
          </w:tcPr>
          <w:p>
            <w:pPr>
              <w:spacing w:before="0" w:after="0"/>
            </w:pPr>
            <w:r>
              <w:rPr>
                <w:sz w:val="12"/>
              </w:rPr>
            </w:r>
            <w:r>
              <w:rPr>
                <w:b/>
                <w:sz w:val="12"/>
              </w:rPr>
              <w:t>Best diagnostic attempt</w:t>
            </w:r>
          </w:p>
        </w:tc>
        <w:tc>
          <w:tcPr>
            <w:tcW w:type="dxa" w:w="3347"/>
            <w:vAlign w:val="top"/>
          </w:tcPr>
          <w:p>
            <w:pPr>
              <w:spacing w:before="0" w:after="0"/>
            </w:pPr>
            <w:r>
              <w:rPr>
                <w:sz w:val="12"/>
              </w:rPr>
            </w:r>
            <w:r>
              <w:rPr>
                <w:b/>
                <w:sz w:val="12"/>
              </w:rPr>
              <w:t>Final decision</w:t>
            </w:r>
          </w:p>
        </w:tc>
      </w:tr>
      <w:tr>
        <w:tc>
          <w:tcPr>
            <w:tcW w:type="dxa" w:w="3347"/>
            <w:vAlign w:val="top"/>
          </w:tcPr>
          <w:p>
            <w:pPr>
              <w:spacing w:before="0" w:after="0"/>
            </w:pPr>
            <w:r>
              <w:rPr>
                <w:sz w:val="12"/>
              </w:rPr>
            </w:r>
            <w:r>
              <w:rPr>
                <w:b w:val="0"/>
                <w:sz w:val="12"/>
              </w:rPr>
              <w:t>Taiwan recall</w:t>
            </w:r>
          </w:p>
        </w:tc>
        <w:tc>
          <w:tcPr>
            <w:tcW w:type="dxa" w:w="3347"/>
            <w:vAlign w:val="top"/>
          </w:tcPr>
          <w:p>
            <w:pPr>
              <w:spacing w:before="0" w:after="0"/>
            </w:pPr>
            <w:r>
              <w:rPr>
                <w:sz w:val="12"/>
              </w:rPr>
            </w:r>
            <w:r>
              <w:rPr>
                <w:b w:val="0"/>
                <w:sz w:val="12"/>
              </w:rPr>
              <w:t>Recall-constrained manual-review band</w:t>
            </w:r>
          </w:p>
        </w:tc>
        <w:tc>
          <w:tcPr>
            <w:tcW w:type="dxa" w:w="3347"/>
            <w:vAlign w:val="top"/>
          </w:tcPr>
          <w:p>
            <w:pPr>
              <w:spacing w:before="0" w:after="0"/>
            </w:pPr>
            <w:r>
              <w:rPr>
                <w:sz w:val="12"/>
              </w:rPr>
            </w:r>
            <w:r>
              <w:rPr>
                <w:b w:val="0"/>
                <w:sz w:val="12"/>
              </w:rPr>
              <w:t>Appendix/V3 candidate only; V2 remains final.</w:t>
            </w:r>
          </w:p>
        </w:tc>
      </w:tr>
      <w:tr>
        <w:tc>
          <w:tcPr>
            <w:tcW w:type="dxa" w:w="3347"/>
            <w:vAlign w:val="top"/>
          </w:tcPr>
          <w:p>
            <w:pPr>
              <w:spacing w:before="0" w:after="0"/>
            </w:pPr>
            <w:r>
              <w:rPr>
                <w:sz w:val="12"/>
              </w:rPr>
            </w:r>
            <w:r>
              <w:rPr>
                <w:b w:val="0"/>
                <w:sz w:val="12"/>
              </w:rPr>
              <w:t>Manual-review workload</w:t>
            </w:r>
          </w:p>
        </w:tc>
        <w:tc>
          <w:tcPr>
            <w:tcW w:type="dxa" w:w="3347"/>
            <w:vAlign w:val="top"/>
          </w:tcPr>
          <w:p>
            <w:pPr>
              <w:spacing w:before="0" w:after="0"/>
            </w:pPr>
            <w:r>
              <w:rPr>
                <w:sz w:val="12"/>
              </w:rPr>
            </w:r>
            <w:r>
              <w:rPr>
                <w:b w:val="0"/>
                <w:sz w:val="12"/>
              </w:rPr>
              <w:t>SCRE top-K review</w:t>
            </w:r>
          </w:p>
        </w:tc>
        <w:tc>
          <w:tcPr>
            <w:tcW w:type="dxa" w:w="3347"/>
            <w:vAlign w:val="top"/>
          </w:tcPr>
          <w:p>
            <w:pPr>
              <w:spacing w:before="0" w:after="0"/>
            </w:pPr>
            <w:r>
              <w:rPr>
                <w:sz w:val="12"/>
              </w:rPr>
            </w:r>
            <w:r>
              <w:rPr>
                <w:b w:val="0"/>
                <w:sz w:val="12"/>
              </w:rPr>
              <w:t>Review-prioritization evidence only.</w:t>
            </w:r>
          </w:p>
        </w:tc>
      </w:tr>
      <w:tr>
        <w:tc>
          <w:tcPr>
            <w:tcW w:type="dxa" w:w="3347"/>
            <w:vAlign w:val="top"/>
          </w:tcPr>
          <w:p>
            <w:pPr>
              <w:spacing w:before="0" w:after="0"/>
            </w:pPr>
            <w:r>
              <w:rPr>
                <w:sz w:val="12"/>
              </w:rPr>
            </w:r>
            <w:r>
              <w:rPr>
                <w:b w:val="0"/>
                <w:sz w:val="12"/>
              </w:rPr>
              <w:t>HELOC specificity</w:t>
            </w:r>
          </w:p>
        </w:tc>
        <w:tc>
          <w:tcPr>
            <w:tcW w:type="dxa" w:w="3347"/>
            <w:vAlign w:val="top"/>
          </w:tcPr>
          <w:p>
            <w:pPr>
              <w:spacing w:before="0" w:after="0"/>
            </w:pPr>
            <w:r>
              <w:rPr>
                <w:sz w:val="12"/>
              </w:rPr>
            </w:r>
            <w:r>
              <w:rPr>
                <w:b w:val="0"/>
                <w:sz w:val="12"/>
              </w:rPr>
              <w:t>Specificity-focused threshold</w:t>
            </w:r>
          </w:p>
        </w:tc>
        <w:tc>
          <w:tcPr>
            <w:tcW w:type="dxa" w:w="3347"/>
            <w:vAlign w:val="top"/>
          </w:tcPr>
          <w:p>
            <w:pPr>
              <w:spacing w:before="0" w:after="0"/>
            </w:pPr>
            <w:r>
              <w:rPr>
                <w:sz w:val="12"/>
              </w:rPr>
            </w:r>
            <w:r>
              <w:rPr>
                <w:b w:val="0"/>
                <w:sz w:val="12"/>
              </w:rPr>
              <w:t>Appendix candidate only; V2 remains final.</w:t>
            </w:r>
          </w:p>
        </w:tc>
      </w:tr>
      <w:tr>
        <w:tc>
          <w:tcPr>
            <w:tcW w:type="dxa" w:w="3347"/>
            <w:vAlign w:val="top"/>
          </w:tcPr>
          <w:p>
            <w:pPr>
              <w:spacing w:before="0" w:after="0"/>
            </w:pPr>
            <w:r>
              <w:rPr>
                <w:sz w:val="12"/>
              </w:rPr>
            </w:r>
            <w:r>
              <w:rPr>
                <w:b w:val="0"/>
                <w:sz w:val="12"/>
              </w:rPr>
              <w:t>Final Attempt metrics</w:t>
            </w:r>
          </w:p>
        </w:tc>
        <w:tc>
          <w:tcPr>
            <w:tcW w:type="dxa" w:w="3347"/>
            <w:vAlign w:val="top"/>
          </w:tcPr>
          <w:p>
            <w:pPr>
              <w:spacing w:before="0" w:after="0"/>
            </w:pPr>
            <w:r>
              <w:rPr>
                <w:sz w:val="12"/>
              </w:rPr>
            </w:r>
            <w:r>
              <w:rPr>
                <w:b w:val="0"/>
                <w:sz w:val="12"/>
              </w:rPr>
              <w:t>3x2 repair</w:t>
            </w:r>
          </w:p>
        </w:tc>
        <w:tc>
          <w:tcPr>
            <w:tcW w:type="dxa" w:w="3347"/>
            <w:vAlign w:val="top"/>
          </w:tcPr>
          <w:p>
            <w:pPr>
              <w:spacing w:before="0" w:after="0"/>
            </w:pPr>
            <w:r>
              <w:rPr>
                <w:sz w:val="12"/>
              </w:rPr>
            </w:r>
            <w:r>
              <w:rPr>
                <w:b w:val="0"/>
                <w:sz w:val="12"/>
              </w:rPr>
              <w:t>Repaired, still appendix evidence.</w:t>
            </w:r>
          </w:p>
        </w:tc>
      </w:tr>
      <w:tr>
        <w:tc>
          <w:tcPr>
            <w:tcW w:type="dxa" w:w="3347"/>
            <w:vAlign w:val="top"/>
          </w:tcPr>
          <w:p>
            <w:pPr>
              <w:spacing w:before="0" w:after="0"/>
            </w:pPr>
            <w:r>
              <w:rPr>
                <w:sz w:val="12"/>
              </w:rPr>
            </w:r>
            <w:r>
              <w:rPr>
                <w:b w:val="0"/>
                <w:sz w:val="12"/>
              </w:rPr>
              <w:t>Proxy cost uncertainty</w:t>
            </w:r>
          </w:p>
        </w:tc>
        <w:tc>
          <w:tcPr>
            <w:tcW w:type="dxa" w:w="3347"/>
            <w:vAlign w:val="top"/>
          </w:tcPr>
          <w:p>
            <w:pPr>
              <w:spacing w:before="0" w:after="0"/>
            </w:pPr>
            <w:r>
              <w:rPr>
                <w:sz w:val="12"/>
              </w:rPr>
            </w:r>
            <w:r>
              <w:rPr>
                <w:b w:val="0"/>
                <w:sz w:val="12"/>
              </w:rPr>
              <w:t>Instance-dependent cost</w:t>
            </w:r>
          </w:p>
        </w:tc>
        <w:tc>
          <w:tcPr>
            <w:tcW w:type="dxa" w:w="3347"/>
            <w:vAlign w:val="top"/>
          </w:tcPr>
          <w:p>
            <w:pPr>
              <w:spacing w:before="0" w:after="0"/>
            </w:pPr>
            <w:r>
              <w:rPr>
                <w:sz w:val="12"/>
              </w:rPr>
            </w:r>
            <w:r>
              <w:rPr>
                <w:b w:val="0"/>
                <w:sz w:val="12"/>
              </w:rPr>
              <w:t>Sensitivity evidence only.</w:t>
            </w:r>
          </w:p>
        </w:tc>
      </w:tr>
      <w:tr>
        <w:tc>
          <w:tcPr>
            <w:tcW w:type="dxa" w:w="3347"/>
            <w:vAlign w:val="top"/>
          </w:tcPr>
          <w:p>
            <w:pPr>
              <w:spacing w:before="0" w:after="0"/>
            </w:pPr>
            <w:r>
              <w:rPr>
                <w:sz w:val="12"/>
              </w:rPr>
            </w:r>
            <w:r>
              <w:rPr>
                <w:b w:val="0"/>
                <w:sz w:val="12"/>
              </w:rPr>
              <w:t>Temporal validation</w:t>
            </w:r>
          </w:p>
        </w:tc>
        <w:tc>
          <w:tcPr>
            <w:tcW w:type="dxa" w:w="3347"/>
            <w:vAlign w:val="top"/>
          </w:tcPr>
          <w:p>
            <w:pPr>
              <w:spacing w:before="0" w:after="0"/>
            </w:pPr>
            <w:r>
              <w:rPr>
                <w:sz w:val="12"/>
              </w:rPr>
            </w:r>
            <w:r>
              <w:rPr>
                <w:b w:val="0"/>
                <w:sz w:val="12"/>
              </w:rPr>
              <w:t>Timestamp availability check</w:t>
            </w:r>
          </w:p>
        </w:tc>
        <w:tc>
          <w:tcPr>
            <w:tcW w:type="dxa" w:w="3347"/>
            <w:vAlign w:val="top"/>
          </w:tcPr>
          <w:p>
            <w:pPr>
              <w:spacing w:before="0" w:after="0"/>
            </w:pPr>
            <w:r>
              <w:rPr>
                <w:sz w:val="12"/>
              </w:rPr>
            </w:r>
            <w:r>
              <w:rPr>
                <w:b w:val="0"/>
                <w:sz w:val="12"/>
              </w:rPr>
              <w:t>Limitation / future work.</w:t>
            </w:r>
          </w:p>
        </w:tc>
      </w:tr>
    </w:tbl>
    <w:p>
      <w:pPr>
        <w:pStyle w:val="TableTitle"/>
      </w:pPr>
      <w:r>
        <w:t>TABLE XIII</w:t>
      </w:r>
    </w:p>
    <w:p>
      <w:pPr>
        <w:pStyle w:val="TableTitle"/>
      </w:pPr>
      <w:r>
        <w:t>MAIN WEAKNESS-CLOSING TRADE-OFFS</w:t>
      </w:r>
    </w:p>
    <w:tbl>
      <w:tblPr>
        <w:tblW w:type="auto" w:w="0"/>
        <w:jc w:val="center"/>
        <w:tblLayout w:type="autofit"/>
        <w:tblLook w:firstColumn="1" w:firstRow="1" w:lastColumn="0" w:lastRow="0" w:noHBand="0" w:noVBand="1" w:val="04A0"/>
      </w:tblPr>
      <w:tblGrid>
        <w:gridCol w:w="3347"/>
        <w:gridCol w:w="3347"/>
        <w:gridCol w:w="3347"/>
      </w:tblGrid>
      <w:tr>
        <w:tc>
          <w:tcPr>
            <w:tcW w:type="dxa" w:w="3347"/>
            <w:vAlign w:val="top"/>
          </w:tcPr>
          <w:p>
            <w:pPr>
              <w:spacing w:before="0" w:after="0"/>
            </w:pPr>
            <w:r>
              <w:rPr>
                <w:sz w:val="12"/>
              </w:rPr>
            </w:r>
            <w:r>
              <w:rPr>
                <w:b/>
                <w:sz w:val="12"/>
              </w:rPr>
              <w:t>Area</w:t>
            </w:r>
          </w:p>
        </w:tc>
        <w:tc>
          <w:tcPr>
            <w:tcW w:type="dxa" w:w="3347"/>
            <w:vAlign w:val="top"/>
          </w:tcPr>
          <w:p>
            <w:pPr>
              <w:spacing w:before="0" w:after="0"/>
            </w:pPr>
            <w:r>
              <w:rPr>
                <w:sz w:val="12"/>
              </w:rPr>
            </w:r>
            <w:r>
              <w:rPr>
                <w:b/>
                <w:sz w:val="12"/>
              </w:rPr>
              <w:t>Improvement</w:t>
            </w:r>
          </w:p>
        </w:tc>
        <w:tc>
          <w:tcPr>
            <w:tcW w:type="dxa" w:w="3347"/>
            <w:vAlign w:val="top"/>
          </w:tcPr>
          <w:p>
            <w:pPr>
              <w:spacing w:before="0" w:after="0"/>
            </w:pPr>
            <w:r>
              <w:rPr>
                <w:sz w:val="12"/>
              </w:rPr>
            </w:r>
            <w:r>
              <w:rPr>
                <w:b/>
                <w:sz w:val="12"/>
              </w:rPr>
              <w:t>Trade-off</w:t>
            </w:r>
          </w:p>
        </w:tc>
      </w:tr>
      <w:tr>
        <w:tc>
          <w:tcPr>
            <w:tcW w:type="dxa" w:w="3347"/>
            <w:vAlign w:val="top"/>
          </w:tcPr>
          <w:p>
            <w:pPr>
              <w:spacing w:before="0" w:after="0"/>
            </w:pPr>
            <w:r>
              <w:rPr>
                <w:sz w:val="12"/>
              </w:rPr>
            </w:r>
            <w:r>
              <w:rPr>
                <w:b w:val="0"/>
                <w:sz w:val="12"/>
              </w:rPr>
              <w:t>Taiwan recall</w:t>
            </w:r>
          </w:p>
        </w:tc>
        <w:tc>
          <w:tcPr>
            <w:tcW w:type="dxa" w:w="3347"/>
            <w:vAlign w:val="top"/>
          </w:tcPr>
          <w:p>
            <w:pPr>
              <w:spacing w:before="0" w:after="0"/>
            </w:pPr>
            <w:r>
              <w:rPr>
                <w:sz w:val="12"/>
              </w:rPr>
            </w:r>
            <w:r>
              <w:rPr>
                <w:b w:val="0"/>
                <w:sz w:val="12"/>
              </w:rPr>
              <w:t>Recall 0.575 to 0.633; FN 564 to 487.</w:t>
            </w:r>
          </w:p>
        </w:tc>
        <w:tc>
          <w:tcPr>
            <w:tcW w:type="dxa" w:w="3347"/>
            <w:vAlign w:val="top"/>
          </w:tcPr>
          <w:p>
            <w:pPr>
              <w:spacing w:before="0" w:after="0"/>
            </w:pPr>
            <w:r>
              <w:rPr>
                <w:sz w:val="12"/>
              </w:rPr>
            </w:r>
            <w:r>
              <w:rPr>
                <w:b w:val="0"/>
                <w:sz w:val="12"/>
              </w:rPr>
              <w:t>FP 680 to 976; precision lower.</w:t>
            </w:r>
          </w:p>
        </w:tc>
      </w:tr>
      <w:tr>
        <w:tc>
          <w:tcPr>
            <w:tcW w:type="dxa" w:w="3347"/>
            <w:vAlign w:val="top"/>
          </w:tcPr>
          <w:p>
            <w:pPr>
              <w:spacing w:before="0" w:after="0"/>
            </w:pPr>
            <w:r>
              <w:rPr>
                <w:sz w:val="12"/>
              </w:rPr>
            </w:r>
            <w:r>
              <w:rPr>
                <w:b w:val="0"/>
                <w:sz w:val="12"/>
              </w:rPr>
              <w:t>Manual review</w:t>
            </w:r>
          </w:p>
        </w:tc>
        <w:tc>
          <w:tcPr>
            <w:tcW w:type="dxa" w:w="3347"/>
            <w:vAlign w:val="top"/>
          </w:tcPr>
          <w:p>
            <w:pPr>
              <w:spacing w:before="0" w:after="0"/>
            </w:pPr>
            <w:r>
              <w:rPr>
                <w:sz w:val="12"/>
              </w:rPr>
            </w:r>
            <w:r>
              <w:rPr>
                <w:b w:val="0"/>
                <w:sz w:val="12"/>
              </w:rPr>
              <w:t>Taiwan Capture@20 0.529; Lift@20 2.645.</w:t>
            </w:r>
          </w:p>
        </w:tc>
        <w:tc>
          <w:tcPr>
            <w:tcW w:type="dxa" w:w="3347"/>
            <w:vAlign w:val="top"/>
          </w:tcPr>
          <w:p>
            <w:pPr>
              <w:spacing w:before="0" w:after="0"/>
            </w:pPr>
            <w:r>
              <w:rPr>
                <w:sz w:val="12"/>
              </w:rPr>
            </w:r>
            <w:r>
              <w:rPr>
                <w:b w:val="0"/>
                <w:sz w:val="12"/>
              </w:rPr>
              <w:t>Ranking evidence, not full decision policy.</w:t>
            </w:r>
          </w:p>
        </w:tc>
      </w:tr>
      <w:tr>
        <w:tc>
          <w:tcPr>
            <w:tcW w:type="dxa" w:w="3347"/>
            <w:vAlign w:val="top"/>
          </w:tcPr>
          <w:p>
            <w:pPr>
              <w:spacing w:before="0" w:after="0"/>
            </w:pPr>
            <w:r>
              <w:rPr>
                <w:sz w:val="12"/>
              </w:rPr>
            </w:r>
            <w:r>
              <w:rPr>
                <w:b w:val="0"/>
                <w:sz w:val="12"/>
              </w:rPr>
              <w:t>HELOC specificity</w:t>
            </w:r>
          </w:p>
        </w:tc>
        <w:tc>
          <w:tcPr>
            <w:tcW w:type="dxa" w:w="3347"/>
            <w:vAlign w:val="top"/>
          </w:tcPr>
          <w:p>
            <w:pPr>
              <w:spacing w:before="0" w:after="0"/>
            </w:pPr>
            <w:r>
              <w:rPr>
                <w:sz w:val="12"/>
              </w:rPr>
            </w:r>
            <w:r>
              <w:rPr>
                <w:b w:val="0"/>
                <w:sz w:val="12"/>
              </w:rPr>
              <w:t>Specificity 0.574 to 0.676; FP 403 to 307.</w:t>
            </w:r>
          </w:p>
        </w:tc>
        <w:tc>
          <w:tcPr>
            <w:tcW w:type="dxa" w:w="3347"/>
            <w:vAlign w:val="top"/>
          </w:tcPr>
          <w:p>
            <w:pPr>
              <w:spacing w:before="0" w:after="0"/>
            </w:pPr>
            <w:r>
              <w:rPr>
                <w:sz w:val="12"/>
              </w:rPr>
            </w:r>
            <w:r>
              <w:rPr>
                <w:b w:val="0"/>
                <w:sz w:val="12"/>
              </w:rPr>
              <w:t>Recall lower; cost higher.</w:t>
            </w:r>
          </w:p>
        </w:tc>
      </w:tr>
      <w:tr>
        <w:tc>
          <w:tcPr>
            <w:tcW w:type="dxa" w:w="3347"/>
            <w:vAlign w:val="top"/>
          </w:tcPr>
          <w:p>
            <w:pPr>
              <w:spacing w:before="0" w:after="0"/>
            </w:pPr>
            <w:r>
              <w:rPr>
                <w:sz w:val="12"/>
              </w:rPr>
            </w:r>
            <w:r>
              <w:rPr>
                <w:b w:val="0"/>
                <w:sz w:val="12"/>
              </w:rPr>
              <w:t>Final Attempt</w:t>
            </w:r>
          </w:p>
        </w:tc>
        <w:tc>
          <w:tcPr>
            <w:tcW w:type="dxa" w:w="3347"/>
            <w:vAlign w:val="top"/>
          </w:tcPr>
          <w:p>
            <w:pPr>
              <w:spacing w:before="0" w:after="0"/>
            </w:pPr>
            <w:r>
              <w:rPr>
                <w:sz w:val="12"/>
              </w:rPr>
            </w:r>
            <w:r>
              <w:rPr>
                <w:b w:val="0"/>
                <w:sz w:val="12"/>
              </w:rPr>
              <w:t>Metric definitions repaired.</w:t>
            </w:r>
          </w:p>
        </w:tc>
        <w:tc>
          <w:tcPr>
            <w:tcW w:type="dxa" w:w="3347"/>
            <w:vAlign w:val="top"/>
          </w:tcPr>
          <w:p>
            <w:pPr>
              <w:spacing w:before="0" w:after="0"/>
            </w:pPr>
            <w:r>
              <w:rPr>
                <w:sz w:val="12"/>
              </w:rPr>
            </w:r>
            <w:r>
              <w:rPr>
                <w:b w:val="0"/>
                <w:sz w:val="12"/>
              </w:rPr>
              <w:t>Did not replace V2.</w:t>
            </w:r>
          </w:p>
        </w:tc>
      </w:tr>
      <w:tr>
        <w:tc>
          <w:tcPr>
            <w:tcW w:type="dxa" w:w="3347"/>
            <w:vAlign w:val="top"/>
          </w:tcPr>
          <w:p>
            <w:pPr>
              <w:spacing w:before="0" w:after="0"/>
            </w:pPr>
            <w:r>
              <w:rPr>
                <w:sz w:val="12"/>
              </w:rPr>
            </w:r>
            <w:r>
              <w:rPr>
                <w:b w:val="0"/>
                <w:sz w:val="12"/>
              </w:rPr>
              <w:t>Proxy cost</w:t>
            </w:r>
          </w:p>
        </w:tc>
        <w:tc>
          <w:tcPr>
            <w:tcW w:type="dxa" w:w="3347"/>
            <w:vAlign w:val="top"/>
          </w:tcPr>
          <w:p>
            <w:pPr>
              <w:spacing w:before="0" w:after="0"/>
            </w:pPr>
            <w:r>
              <w:rPr>
                <w:sz w:val="12"/>
              </w:rPr>
            </w:r>
            <w:r>
              <w:rPr>
                <w:b w:val="0"/>
                <w:sz w:val="12"/>
              </w:rPr>
              <w:t>Taiwan candidate better under several proxy costs.</w:t>
            </w:r>
          </w:p>
        </w:tc>
        <w:tc>
          <w:tcPr>
            <w:tcW w:type="dxa" w:w="3347"/>
            <w:vAlign w:val="top"/>
          </w:tcPr>
          <w:p>
            <w:pPr>
              <w:spacing w:before="0" w:after="0"/>
            </w:pPr>
            <w:r>
              <w:rPr>
                <w:sz w:val="12"/>
              </w:rPr>
            </w:r>
            <w:r>
              <w:rPr>
                <w:b w:val="0"/>
                <w:sz w:val="12"/>
              </w:rPr>
              <w:t>Proxy cost is not real bank loss.</w:t>
            </w:r>
          </w:p>
        </w:tc>
      </w:tr>
      <w:tr>
        <w:tc>
          <w:tcPr>
            <w:tcW w:type="dxa" w:w="3347"/>
            <w:vAlign w:val="top"/>
          </w:tcPr>
          <w:p>
            <w:pPr>
              <w:spacing w:before="0" w:after="0"/>
            </w:pPr>
            <w:r>
              <w:rPr>
                <w:sz w:val="12"/>
              </w:rPr>
            </w:r>
            <w:r>
              <w:rPr>
                <w:b w:val="0"/>
                <w:sz w:val="12"/>
              </w:rPr>
              <w:t>Temporal</w:t>
            </w:r>
          </w:p>
        </w:tc>
        <w:tc>
          <w:tcPr>
            <w:tcW w:type="dxa" w:w="3347"/>
            <w:vAlign w:val="top"/>
          </w:tcPr>
          <w:p>
            <w:pPr>
              <w:spacing w:before="0" w:after="0"/>
            </w:pPr>
            <w:r>
              <w:rPr>
                <w:sz w:val="12"/>
              </w:rPr>
            </w:r>
            <w:r>
              <w:rPr>
                <w:b w:val="0"/>
                <w:sz w:val="12"/>
              </w:rPr>
              <w:t>Timestamp issue documented.</w:t>
            </w:r>
          </w:p>
        </w:tc>
        <w:tc>
          <w:tcPr>
            <w:tcW w:type="dxa" w:w="3347"/>
            <w:vAlign w:val="top"/>
          </w:tcPr>
          <w:p>
            <w:pPr>
              <w:spacing w:before="0" w:after="0"/>
            </w:pPr>
            <w:r>
              <w:rPr>
                <w:sz w:val="12"/>
              </w:rPr>
            </w:r>
            <w:r>
              <w:rPr>
                <w:b w:val="0"/>
                <w:sz w:val="12"/>
              </w:rPr>
              <w:t>No true temporal validation.</w:t>
            </w:r>
          </w:p>
        </w:tc>
      </w:tr>
    </w:tbl>
    <w:p>
      <w:pPr>
        <w:pStyle w:val="PARA"/>
      </w:pPr>
      <w:r>
        <w:t>The weakness-closing phase strengthened the discussion but did not create a V3 replacement. Its role is to show that the main weaknesses were tested, not ignored.</w:t>
      </w:r>
    </w:p>
    <w:p w14:paraId="60BCD589" w14:textId="77777777" w:rsidR="005C7A72" w:rsidRDefault="009A2A24">
      <w:pPr>
        <w:pStyle w:val="PARA"/>
        <w:keepNext/>
        <w:spacing w:before="100"/>
      </w:pPr>
      <w:r>
        <w:t>D. Explanation and reliability checks</w:t>
      </w:r>
    </w:p>
    <w:p w14:paraId="4758D185" w14:textId="77777777" w:rsidR="005C7A72" w:rsidRDefault="009A2A24">
      <w:pPr>
        <w:pStyle w:val="TableTitle"/>
        <w:keepNext/>
      </w:pPr>
      <w:r>
        <w:t>TABLE XIV</w:t>
      </w:r>
    </w:p>
    <w:p w14:paraId="356AB29C" w14:textId="77777777" w:rsidR="005C7A72" w:rsidRDefault="009A2A24">
      <w:pPr>
        <w:pStyle w:val="TableTitle"/>
        <w:keepNext/>
      </w:pPr>
      <w:r>
        <w:t>EXPLANATION, STABILITY, AND CLAIM-CONTROL CHECKS</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1153"/>
        <w:gridCol w:w="1843"/>
        <w:gridCol w:w="1972"/>
      </w:tblGrid>
      <w:tr w:rsidR="005C7A72" w14:paraId="42F8B1CF" w14:textId="77777777">
        <w:trPr>
          <w:cantSplit/>
          <w:tblHeader/>
          <w:jc w:val="center"/>
        </w:trPr>
        <w:tc>
          <w:tcPr>
            <w:tcW w:w="1152" w:type="dxa"/>
            <w:shd w:val="clear" w:color="auto" w:fill="E9EEF7"/>
            <w:tcMar>
              <w:top w:w="48" w:type="dxa"/>
              <w:left w:w="48" w:type="dxa"/>
              <w:bottom w:w="48" w:type="dxa"/>
              <w:right w:w="48" w:type="dxa"/>
            </w:tcMar>
            <w:vAlign w:val="top"/>
          </w:tcPr>
          <w:p w14:paraId="5952D599" w14:textId="77777777" w:rsidR="005C7A72" w:rsidRDefault="009A2A24">
            <w:pPr>
              <w:spacing w:before="0" w:after="0"/>
            </w:pPr>
            <w:r>
              <w:rPr>
                <w:b/>
                <w:sz w:val="12"/>
              </w:rPr>
              <w:t>Check</w:t>
            </w:r>
          </w:p>
        </w:tc>
        <w:tc>
          <w:tcPr>
            <w:tcW w:w="1843" w:type="dxa"/>
            <w:shd w:val="clear" w:color="auto" w:fill="E9EEF7"/>
            <w:tcMar>
              <w:top w:w="48" w:type="dxa"/>
              <w:left w:w="48" w:type="dxa"/>
              <w:bottom w:w="48" w:type="dxa"/>
              <w:right w:w="48" w:type="dxa"/>
            </w:tcMar>
            <w:vAlign w:val="top"/>
          </w:tcPr>
          <w:p w14:paraId="59D940FF" w14:textId="77777777" w:rsidR="005C7A72" w:rsidRDefault="009A2A24">
            <w:pPr>
              <w:spacing w:before="0" w:after="0"/>
            </w:pPr>
            <w:r>
              <w:rPr>
                <w:b/>
                <w:sz w:val="12"/>
              </w:rPr>
              <w:t>Evidence</w:t>
            </w:r>
          </w:p>
        </w:tc>
        <w:tc>
          <w:tcPr>
            <w:tcW w:w="1972" w:type="dxa"/>
            <w:shd w:val="clear" w:color="auto" w:fill="E9EEF7"/>
            <w:tcMar>
              <w:top w:w="48" w:type="dxa"/>
              <w:left w:w="48" w:type="dxa"/>
              <w:bottom w:w="48" w:type="dxa"/>
              <w:right w:w="48" w:type="dxa"/>
            </w:tcMar>
            <w:vAlign w:val="top"/>
          </w:tcPr>
          <w:p w14:paraId="7E9F5E7C" w14:textId="77777777" w:rsidR="005C7A72" w:rsidRDefault="009A2A24">
            <w:pPr>
              <w:spacing w:before="0" w:after="0"/>
            </w:pPr>
            <w:r>
              <w:rPr>
                <w:b/>
                <w:sz w:val="12"/>
              </w:rPr>
              <w:t>Safe interpretation</w:t>
            </w:r>
          </w:p>
        </w:tc>
      </w:tr>
      <w:tr w:rsidR="005C7A72" w14:paraId="28DE3DA9" w14:textId="77777777">
        <w:trPr>
          <w:cantSplit/>
          <w:jc w:val="center"/>
        </w:trPr>
        <w:tc>
          <w:tcPr>
            <w:tcW w:w="1152" w:type="dxa"/>
            <w:tcMar>
              <w:top w:w="48" w:type="dxa"/>
              <w:left w:w="48" w:type="dxa"/>
              <w:bottom w:w="48" w:type="dxa"/>
              <w:right w:w="48" w:type="dxa"/>
            </w:tcMar>
            <w:vAlign w:val="top"/>
          </w:tcPr>
          <w:p w14:paraId="59CA284A" w14:textId="77777777" w:rsidR="005C7A72" w:rsidRDefault="009A2A24">
            <w:pPr>
              <w:spacing w:before="0" w:after="0"/>
            </w:pPr>
            <w:r>
              <w:rPr>
                <w:sz w:val="12"/>
              </w:rPr>
              <w:t>SHAP seed stability</w:t>
            </w:r>
          </w:p>
        </w:tc>
        <w:tc>
          <w:tcPr>
            <w:tcW w:w="1843" w:type="dxa"/>
            <w:tcMar>
              <w:top w:w="48" w:type="dxa"/>
              <w:left w:w="48" w:type="dxa"/>
              <w:bottom w:w="48" w:type="dxa"/>
              <w:right w:w="48" w:type="dxa"/>
            </w:tcMar>
            <w:vAlign w:val="top"/>
          </w:tcPr>
          <w:p w14:paraId="3B7893C6" w14:textId="77777777" w:rsidR="005C7A72" w:rsidRDefault="009A2A24">
            <w:pPr>
              <w:spacing w:before="0" w:after="0"/>
            </w:pPr>
            <w:r>
              <w:rPr>
                <w:sz w:val="12"/>
              </w:rPr>
              <w:t>LightGBM Kendall W: Taiwan all=0.977, top5=0.893; HELOC all=0.995, top5=1.000.</w:t>
            </w:r>
          </w:p>
        </w:tc>
        <w:tc>
          <w:tcPr>
            <w:tcW w:w="1972" w:type="dxa"/>
            <w:tcMar>
              <w:top w:w="48" w:type="dxa"/>
              <w:left w:w="48" w:type="dxa"/>
              <w:bottom w:w="48" w:type="dxa"/>
              <w:right w:w="48" w:type="dxa"/>
            </w:tcMar>
            <w:vAlign w:val="top"/>
          </w:tcPr>
          <w:p w14:paraId="1BC9D432" w14:textId="77777777" w:rsidR="005C7A72" w:rsidRDefault="009A2A24">
            <w:pPr>
              <w:spacing w:before="0" w:after="0"/>
            </w:pPr>
            <w:r>
              <w:rPr>
                <w:sz w:val="12"/>
              </w:rPr>
              <w:t>Feature-rank agreement is high for the available LightGBM stability protocol.</w:t>
            </w:r>
          </w:p>
        </w:tc>
      </w:tr>
      <w:tr w:rsidR="005C7A72" w14:paraId="110D1A13" w14:textId="77777777">
        <w:trPr>
          <w:cantSplit/>
          <w:jc w:val="center"/>
        </w:trPr>
        <w:tc>
          <w:tcPr>
            <w:tcW w:w="1152" w:type="dxa"/>
            <w:tcMar>
              <w:top w:w="48" w:type="dxa"/>
              <w:left w:w="48" w:type="dxa"/>
              <w:bottom w:w="48" w:type="dxa"/>
              <w:right w:w="48" w:type="dxa"/>
            </w:tcMar>
            <w:vAlign w:val="top"/>
          </w:tcPr>
          <w:p w14:paraId="70F03869" w14:textId="77777777" w:rsidR="005C7A72" w:rsidRDefault="009A2A24">
            <w:pPr>
              <w:spacing w:before="0" w:after="0"/>
            </w:pPr>
            <w:r>
              <w:rPr>
                <w:sz w:val="12"/>
              </w:rPr>
              <w:t xml:space="preserve">SHAP/LIME local </w:t>
            </w:r>
            <w:r>
              <w:rPr>
                <w:sz w:val="12"/>
              </w:rPr>
              <w:t>agreement</w:t>
            </w:r>
          </w:p>
        </w:tc>
        <w:tc>
          <w:tcPr>
            <w:tcW w:w="1843" w:type="dxa"/>
            <w:tcMar>
              <w:top w:w="48" w:type="dxa"/>
              <w:left w:w="48" w:type="dxa"/>
              <w:bottom w:w="48" w:type="dxa"/>
              <w:right w:w="48" w:type="dxa"/>
            </w:tcMar>
            <w:vAlign w:val="top"/>
          </w:tcPr>
          <w:p w14:paraId="4AB100F1" w14:textId="77777777" w:rsidR="005C7A72" w:rsidRDefault="009A2A24">
            <w:pPr>
              <w:spacing w:before="0" w:after="0"/>
            </w:pPr>
            <w:r>
              <w:rPr>
                <w:sz w:val="12"/>
              </w:rPr>
              <w:t>Local Jaccard range 0.111-0.538; average consistency 0.309.</w:t>
            </w:r>
          </w:p>
        </w:tc>
        <w:tc>
          <w:tcPr>
            <w:tcW w:w="1972" w:type="dxa"/>
            <w:tcMar>
              <w:top w:w="48" w:type="dxa"/>
              <w:left w:w="48" w:type="dxa"/>
              <w:bottom w:w="48" w:type="dxa"/>
              <w:right w:w="48" w:type="dxa"/>
            </w:tcMar>
            <w:vAlign w:val="top"/>
          </w:tcPr>
          <w:p w14:paraId="037DED81" w14:textId="77777777" w:rsidR="005C7A72" w:rsidRDefault="009A2A24">
            <w:pPr>
              <w:spacing w:before="0" w:after="0"/>
            </w:pPr>
            <w:r>
              <w:rPr>
                <w:sz w:val="12"/>
              </w:rPr>
              <w:t>Local explanations are diagnostic and case-dependent; they are not causal proof.</w:t>
            </w:r>
          </w:p>
        </w:tc>
      </w:tr>
      <w:tr w:rsidR="005C7A72" w14:paraId="4FE4ECEF" w14:textId="77777777">
        <w:trPr>
          <w:cantSplit/>
          <w:jc w:val="center"/>
        </w:trPr>
        <w:tc>
          <w:tcPr>
            <w:tcW w:w="1152" w:type="dxa"/>
            <w:tcMar>
              <w:top w:w="48" w:type="dxa"/>
              <w:left w:w="48" w:type="dxa"/>
              <w:bottom w:w="48" w:type="dxa"/>
              <w:right w:w="48" w:type="dxa"/>
            </w:tcMar>
            <w:vAlign w:val="top"/>
          </w:tcPr>
          <w:p w14:paraId="3EAE04D3" w14:textId="77777777" w:rsidR="005C7A72" w:rsidRDefault="009A2A24">
            <w:pPr>
              <w:spacing w:before="0" w:after="0"/>
            </w:pPr>
            <w:r>
              <w:rPr>
                <w:sz w:val="12"/>
              </w:rPr>
              <w:t>Faithfulness perturbation</w:t>
            </w:r>
          </w:p>
        </w:tc>
        <w:tc>
          <w:tcPr>
            <w:tcW w:w="1843" w:type="dxa"/>
            <w:tcMar>
              <w:top w:w="48" w:type="dxa"/>
              <w:left w:w="48" w:type="dxa"/>
              <w:bottom w:w="48" w:type="dxa"/>
              <w:right w:w="48" w:type="dxa"/>
            </w:tcMar>
            <w:vAlign w:val="top"/>
          </w:tcPr>
          <w:p w14:paraId="34FBD5CA" w14:textId="77777777" w:rsidR="005C7A72" w:rsidRDefault="009A2A24">
            <w:pPr>
              <w:spacing w:before="0" w:after="0"/>
            </w:pPr>
            <w:r>
              <w:rPr>
                <w:sz w:val="12"/>
              </w:rPr>
              <w:t>Largest observed AUC drop is 0.016 for PAY_0.</w:t>
            </w:r>
          </w:p>
        </w:tc>
        <w:tc>
          <w:tcPr>
            <w:tcW w:w="1972" w:type="dxa"/>
            <w:tcMar>
              <w:top w:w="48" w:type="dxa"/>
              <w:left w:w="48" w:type="dxa"/>
              <w:bottom w:w="48" w:type="dxa"/>
              <w:right w:w="48" w:type="dxa"/>
            </w:tcMar>
            <w:vAlign w:val="top"/>
          </w:tcPr>
          <w:p w14:paraId="3C4576A2" w14:textId="77777777" w:rsidR="005C7A72" w:rsidRDefault="009A2A24">
            <w:pPr>
              <w:spacing w:before="0" w:after="0"/>
            </w:pPr>
            <w:r>
              <w:rPr>
                <w:sz w:val="12"/>
              </w:rPr>
              <w:t>Top repayment-delay features are behaviorally plausible, but perturbation tests remain model diagnostics.</w:t>
            </w:r>
          </w:p>
        </w:tc>
      </w:tr>
      <w:tr w:rsidR="005C7A72" w14:paraId="207A11C1" w14:textId="77777777">
        <w:trPr>
          <w:cantSplit/>
          <w:jc w:val="center"/>
        </w:trPr>
        <w:tc>
          <w:tcPr>
            <w:tcW w:w="1152" w:type="dxa"/>
            <w:tcMar>
              <w:top w:w="48" w:type="dxa"/>
              <w:left w:w="48" w:type="dxa"/>
              <w:bottom w:w="48" w:type="dxa"/>
              <w:right w:w="48" w:type="dxa"/>
            </w:tcMar>
            <w:vAlign w:val="top"/>
          </w:tcPr>
          <w:p w14:paraId="1C625CA0" w14:textId="77777777" w:rsidR="005C7A72" w:rsidRDefault="009A2A24">
            <w:pPr>
              <w:spacing w:before="0" w:after="0"/>
            </w:pPr>
            <w:r>
              <w:rPr>
                <w:sz w:val="12"/>
              </w:rPr>
              <w:t>Claim control</w:t>
            </w:r>
          </w:p>
        </w:tc>
        <w:tc>
          <w:tcPr>
            <w:tcW w:w="1843" w:type="dxa"/>
            <w:tcMar>
              <w:top w:w="48" w:type="dxa"/>
              <w:left w:w="48" w:type="dxa"/>
              <w:bottom w:w="48" w:type="dxa"/>
              <w:right w:w="48" w:type="dxa"/>
            </w:tcMar>
            <w:vAlign w:val="top"/>
          </w:tcPr>
          <w:p w14:paraId="04882AC3" w14:textId="77777777" w:rsidR="005C7A72" w:rsidRDefault="009A2A24">
            <w:pPr>
              <w:spacing w:before="0" w:after="0"/>
            </w:pPr>
            <w:r>
              <w:rPr>
                <w:sz w:val="12"/>
              </w:rPr>
              <w:t>SCRE does not beat every individual model; final policies are manual-review screening policies.</w:t>
            </w:r>
          </w:p>
        </w:tc>
        <w:tc>
          <w:tcPr>
            <w:tcW w:w="1972" w:type="dxa"/>
            <w:tcMar>
              <w:top w:w="48" w:type="dxa"/>
              <w:left w:w="48" w:type="dxa"/>
              <w:bottom w:w="48" w:type="dxa"/>
              <w:right w:w="48" w:type="dxa"/>
            </w:tcMar>
            <w:vAlign w:val="top"/>
          </w:tcPr>
          <w:p w14:paraId="76DD3D00" w14:textId="77777777" w:rsidR="005C7A72" w:rsidRDefault="009A2A24">
            <w:pPr>
              <w:spacing w:before="0" w:after="0"/>
            </w:pPr>
            <w:r>
              <w:rPr>
                <w:sz w:val="12"/>
              </w:rPr>
              <w:t>Avoid universal superiority and automatic rejection claims.</w:t>
            </w:r>
          </w:p>
        </w:tc>
      </w:tr>
    </w:tbl>
    <w:p w14:paraId="0607CA32" w14:textId="77777777" w:rsidR="005C7A72" w:rsidRDefault="005C7A72">
      <w:pPr>
        <w:pStyle w:val="PARA"/>
      </w:pPr>
    </w:p>
    <w:p w14:paraId="73E492AA" w14:textId="77777777" w:rsidR="005C7A72" w:rsidRDefault="009A2A24">
      <w:pPr>
        <w:keepNext/>
        <w:spacing w:before="60" w:after="20"/>
        <w:jc w:val="center"/>
      </w:pPr>
      <w:r>
        <w:rPr>
          <w:noProof/>
        </w:rPr>
        <w:drawing>
          <wp:inline distT="0" distB="0" distL="0" distR="0" wp14:anchorId="62427503" wp14:editId="2A8FE529">
            <wp:extent cx="3063240" cy="178689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liability_checks.png"/>
                    <pic:cNvPicPr/>
                  </pic:nvPicPr>
                  <pic:blipFill>
                    <a:blip r:embed="rId19"/>
                    <a:stretch>
                      <a:fillRect/>
                    </a:stretch>
                  </pic:blipFill>
                  <pic:spPr>
                    <a:xfrm>
                      <a:off x="0" y="0"/>
                      <a:ext cx="3063240" cy="1786890"/>
                    </a:xfrm>
                    <a:prstGeom prst="rect">
                      <a:avLst/>
                    </a:prstGeom>
                  </pic:spPr>
                </pic:pic>
              </a:graphicData>
            </a:graphic>
          </wp:inline>
        </w:drawing>
      </w:r>
    </w:p>
    <w:p w14:paraId="22DB6DEF" w14:textId="77777777" w:rsidR="005C7A72" w:rsidRDefault="009A2A24">
      <w:pPr>
        <w:pStyle w:val="FigCaption"/>
        <w:keepLines/>
        <w:jc w:val="center"/>
      </w:pPr>
      <w:r>
        <w:t>FIGURE 6. Kendall W stability and local explanation diagnostics used as supporting evidence.</w:t>
      </w:r>
    </w:p>
    <w:p w14:paraId="57152C22" w14:textId="77777777" w:rsidR="005C7A72" w:rsidRDefault="009A2A24">
      <w:pPr>
        <w:pStyle w:val="PARA"/>
      </w:pPr>
      <w:r>
        <w:t>The explanation results are intentionally scoped. SHAP and LIME help inspect whether repayment, utilization, and delinquency signals influence risk scores in plausible ways. They do not establish causality, fairness compliance, or individual recourse validity. Therefore, explanations support model debugging and communication but do not replace the validation-locked decision evidence.</w:t>
      </w:r>
    </w:p>
    <w:p w14:paraId="624B0B09" w14:textId="77777777" w:rsidR="005C7A72" w:rsidRDefault="009A2A24">
      <w:pPr>
        <w:pStyle w:val="PARA"/>
        <w:keepNext/>
        <w:spacing w:before="100"/>
      </w:pPr>
      <w:r>
        <w:t>E. Audit status</w:t>
      </w:r>
    </w:p>
    <w:p w14:paraId="73F34DAE" w14:textId="77777777" w:rsidR="005C7A72" w:rsidRDefault="009A2A24">
      <w:pPr>
        <w:pStyle w:val="TableTitle"/>
        <w:keepNext/>
      </w:pPr>
      <w:r>
        <w:t>TABLE XV</w:t>
      </w:r>
    </w:p>
    <w:p w14:paraId="57F7FE40" w14:textId="77777777" w:rsidR="005C7A72" w:rsidRDefault="009A2A24">
      <w:pPr>
        <w:pStyle w:val="TableTitle"/>
        <w:keepNext/>
      </w:pPr>
      <w:r>
        <w:t xml:space="preserve">FINAL AUDIT CHECKS </w:t>
      </w:r>
      <w:r>
        <w:t>USED IN THE REPORT</w:t>
      </w:r>
    </w:p>
    <w:tbl>
      <w:tblPr>
        <w:tblW w:w="496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autofit"/>
        <w:tblLook w:val="04A0" w:firstRow="1" w:lastRow="0" w:firstColumn="1" w:lastColumn="0" w:noHBand="0" w:noVBand="1"/>
      </w:tblPr>
      <w:tblGrid>
        <w:gridCol w:w="1195"/>
        <w:gridCol w:w="2016"/>
        <w:gridCol w:w="1757"/>
      </w:tblGrid>
      <w:tr w:rsidR="005C7A72" w14:paraId="12EEB6FB" w14:textId="77777777">
        <w:trPr>
          <w:cantSplit/>
          <w:tblHeader/>
          <w:jc w:val="center"/>
        </w:trPr>
        <w:tc>
          <w:tcPr>
            <w:tcW w:w="1195" w:type="dxa"/>
            <w:shd w:val="clear" w:color="auto" w:fill="E9EEF7"/>
            <w:tcMar>
              <w:top w:w="48" w:type="dxa"/>
              <w:left w:w="48" w:type="dxa"/>
              <w:bottom w:w="48" w:type="dxa"/>
              <w:right w:w="48" w:type="dxa"/>
            </w:tcMar>
            <w:vAlign w:val="top"/>
          </w:tcPr>
          <w:p w14:paraId="5FE1C8C5" w14:textId="77777777" w:rsidR="005C7A72" w:rsidRDefault="009A2A24">
            <w:pPr>
              <w:spacing w:before="0" w:after="0"/>
            </w:pPr>
            <w:r>
              <w:rPr>
                <w:b/>
                <w:sz w:val="12"/>
              </w:rPr>
              <w:t>Check</w:t>
            </w:r>
          </w:p>
        </w:tc>
        <w:tc>
          <w:tcPr>
            <w:tcW w:w="2015" w:type="dxa"/>
            <w:shd w:val="clear" w:color="auto" w:fill="E9EEF7"/>
            <w:tcMar>
              <w:top w:w="48" w:type="dxa"/>
              <w:left w:w="48" w:type="dxa"/>
              <w:bottom w:w="48" w:type="dxa"/>
              <w:right w:w="48" w:type="dxa"/>
            </w:tcMar>
            <w:vAlign w:val="top"/>
          </w:tcPr>
          <w:p w14:paraId="73E02081" w14:textId="77777777" w:rsidR="005C7A72" w:rsidRDefault="009A2A24">
            <w:pPr>
              <w:spacing w:before="0" w:after="0"/>
            </w:pPr>
            <w:r>
              <w:rPr>
                <w:b/>
                <w:sz w:val="12"/>
              </w:rPr>
              <w:t>What was verified</w:t>
            </w:r>
          </w:p>
        </w:tc>
        <w:tc>
          <w:tcPr>
            <w:tcW w:w="1756" w:type="dxa"/>
            <w:shd w:val="clear" w:color="auto" w:fill="E9EEF7"/>
            <w:tcMar>
              <w:top w:w="48" w:type="dxa"/>
              <w:left w:w="48" w:type="dxa"/>
              <w:bottom w:w="48" w:type="dxa"/>
              <w:right w:w="48" w:type="dxa"/>
            </w:tcMar>
            <w:vAlign w:val="top"/>
          </w:tcPr>
          <w:p w14:paraId="784BE720" w14:textId="77777777" w:rsidR="005C7A72" w:rsidRDefault="009A2A24">
            <w:pPr>
              <w:spacing w:before="0" w:after="0"/>
            </w:pPr>
            <w:r>
              <w:rPr>
                <w:b/>
                <w:sz w:val="12"/>
              </w:rPr>
              <w:t>Why it matters</w:t>
            </w:r>
          </w:p>
        </w:tc>
      </w:tr>
      <w:tr w:rsidR="005C7A72" w14:paraId="55D4DCB7" w14:textId="77777777">
        <w:trPr>
          <w:cantSplit/>
          <w:jc w:val="center"/>
        </w:trPr>
        <w:tc>
          <w:tcPr>
            <w:tcW w:w="1195" w:type="dxa"/>
            <w:tcMar>
              <w:top w:w="48" w:type="dxa"/>
              <w:left w:w="48" w:type="dxa"/>
              <w:bottom w:w="48" w:type="dxa"/>
              <w:right w:w="48" w:type="dxa"/>
            </w:tcMar>
            <w:vAlign w:val="top"/>
          </w:tcPr>
          <w:p w14:paraId="6AEE7480" w14:textId="77777777" w:rsidR="005C7A72" w:rsidRDefault="009A2A24">
            <w:pPr>
              <w:spacing w:before="0" w:after="0"/>
            </w:pPr>
            <w:r>
              <w:rPr>
                <w:sz w:val="12"/>
              </w:rPr>
              <w:t>Validation-only selection</w:t>
            </w:r>
          </w:p>
        </w:tc>
        <w:tc>
          <w:tcPr>
            <w:tcW w:w="2015" w:type="dxa"/>
            <w:tcMar>
              <w:top w:w="48" w:type="dxa"/>
              <w:left w:w="48" w:type="dxa"/>
              <w:bottom w:w="48" w:type="dxa"/>
              <w:right w:w="48" w:type="dxa"/>
            </w:tcMar>
            <w:vAlign w:val="top"/>
          </w:tcPr>
          <w:p w14:paraId="58F850FA" w14:textId="77777777" w:rsidR="005C7A72" w:rsidRDefault="009A2A24">
            <w:pPr>
              <w:spacing w:before="0" w:after="0"/>
            </w:pPr>
            <w:r>
              <w:rPr>
                <w:sz w:val="12"/>
              </w:rPr>
              <w:t>Model, calibration, threshold, and manual-review bands are selected before held-out test reporting.</w:t>
            </w:r>
          </w:p>
        </w:tc>
        <w:tc>
          <w:tcPr>
            <w:tcW w:w="1756" w:type="dxa"/>
            <w:tcMar>
              <w:top w:w="48" w:type="dxa"/>
              <w:left w:w="48" w:type="dxa"/>
              <w:bottom w:w="48" w:type="dxa"/>
              <w:right w:w="48" w:type="dxa"/>
            </w:tcMar>
            <w:vAlign w:val="top"/>
          </w:tcPr>
          <w:p w14:paraId="49477809" w14:textId="77777777" w:rsidR="005C7A72" w:rsidRDefault="009A2A24">
            <w:pPr>
              <w:spacing w:before="0" w:after="0"/>
            </w:pPr>
            <w:r>
              <w:rPr>
                <w:sz w:val="12"/>
              </w:rPr>
              <w:t>Prevents choosing the final result after looking at test performance.</w:t>
            </w:r>
          </w:p>
        </w:tc>
      </w:tr>
      <w:tr w:rsidR="005C7A72" w14:paraId="77EC1845" w14:textId="77777777">
        <w:trPr>
          <w:cantSplit/>
          <w:jc w:val="center"/>
        </w:trPr>
        <w:tc>
          <w:tcPr>
            <w:tcW w:w="1195" w:type="dxa"/>
            <w:tcMar>
              <w:top w:w="48" w:type="dxa"/>
              <w:left w:w="48" w:type="dxa"/>
              <w:bottom w:w="48" w:type="dxa"/>
              <w:right w:w="48" w:type="dxa"/>
            </w:tcMar>
            <w:vAlign w:val="top"/>
          </w:tcPr>
          <w:p w14:paraId="62244473" w14:textId="77777777" w:rsidR="005C7A72" w:rsidRDefault="009A2A24">
            <w:pPr>
              <w:spacing w:before="0" w:after="0"/>
            </w:pPr>
            <w:r>
              <w:rPr>
                <w:sz w:val="12"/>
              </w:rPr>
              <w:t>Locked held-out evidence</w:t>
            </w:r>
          </w:p>
        </w:tc>
        <w:tc>
          <w:tcPr>
            <w:tcW w:w="2015" w:type="dxa"/>
            <w:tcMar>
              <w:top w:w="48" w:type="dxa"/>
              <w:left w:w="48" w:type="dxa"/>
              <w:bottom w:w="48" w:type="dxa"/>
              <w:right w:w="48" w:type="dxa"/>
            </w:tcMar>
            <w:vAlign w:val="top"/>
          </w:tcPr>
          <w:p w14:paraId="2462E62B" w14:textId="77777777" w:rsidR="005C7A72" w:rsidRDefault="009A2A24">
            <w:pPr>
              <w:spacing w:before="0" w:after="0"/>
            </w:pPr>
            <w:r>
              <w:rPr>
                <w:sz w:val="12"/>
              </w:rPr>
              <w:t>The held-out test table reports evidence only after the policy is frozen; it does not contain model-selection ranks.</w:t>
            </w:r>
          </w:p>
        </w:tc>
        <w:tc>
          <w:tcPr>
            <w:tcW w:w="1756" w:type="dxa"/>
            <w:tcMar>
              <w:top w:w="48" w:type="dxa"/>
              <w:left w:w="48" w:type="dxa"/>
              <w:bottom w:w="48" w:type="dxa"/>
              <w:right w:w="48" w:type="dxa"/>
            </w:tcMar>
            <w:vAlign w:val="top"/>
          </w:tcPr>
          <w:p w14:paraId="0124B2CD" w14:textId="77777777" w:rsidR="005C7A72" w:rsidRDefault="009A2A24">
            <w:pPr>
              <w:spacing w:before="0" w:after="0"/>
            </w:pPr>
            <w:r>
              <w:rPr>
                <w:sz w:val="12"/>
              </w:rPr>
              <w:t>Keeps the final table as evaluation evidence rather than a hidden leaderboard.</w:t>
            </w:r>
          </w:p>
        </w:tc>
      </w:tr>
      <w:tr w:rsidR="005C7A72" w14:paraId="16E33094" w14:textId="77777777">
        <w:trPr>
          <w:cantSplit/>
          <w:jc w:val="center"/>
        </w:trPr>
        <w:tc>
          <w:tcPr>
            <w:tcW w:w="1195" w:type="dxa"/>
            <w:tcMar>
              <w:top w:w="48" w:type="dxa"/>
              <w:left w:w="48" w:type="dxa"/>
              <w:bottom w:w="48" w:type="dxa"/>
              <w:right w:w="48" w:type="dxa"/>
            </w:tcMar>
            <w:vAlign w:val="top"/>
          </w:tcPr>
          <w:p w14:paraId="376BF8F1" w14:textId="77777777" w:rsidR="005C7A72" w:rsidRDefault="009A2A24">
            <w:pPr>
              <w:spacing w:before="0" w:after="0"/>
            </w:pPr>
            <w:r>
              <w:rPr>
                <w:sz w:val="12"/>
              </w:rPr>
              <w:t>Metric consistency</w:t>
            </w:r>
          </w:p>
        </w:tc>
        <w:tc>
          <w:tcPr>
            <w:tcW w:w="2015" w:type="dxa"/>
            <w:tcMar>
              <w:top w:w="48" w:type="dxa"/>
              <w:left w:w="48" w:type="dxa"/>
              <w:bottom w:w="48" w:type="dxa"/>
              <w:right w:w="48" w:type="dxa"/>
            </w:tcMar>
            <w:vAlign w:val="top"/>
          </w:tcPr>
          <w:p w14:paraId="443A0DE4" w14:textId="77777777" w:rsidR="005C7A72" w:rsidRDefault="009A2A24">
            <w:pPr>
              <w:spacing w:before="0" w:after="0"/>
            </w:pPr>
            <w:r>
              <w:rPr>
                <w:sz w:val="12"/>
              </w:rPr>
              <w:t>Precision, recall, specificity, F1, false positives, false negatives, and costs recompute consistently.</w:t>
            </w:r>
          </w:p>
        </w:tc>
        <w:tc>
          <w:tcPr>
            <w:tcW w:w="1756" w:type="dxa"/>
            <w:tcMar>
              <w:top w:w="48" w:type="dxa"/>
              <w:left w:w="48" w:type="dxa"/>
              <w:bottom w:w="48" w:type="dxa"/>
              <w:right w:w="48" w:type="dxa"/>
            </w:tcMar>
            <w:vAlign w:val="top"/>
          </w:tcPr>
          <w:p w14:paraId="0233C397" w14:textId="77777777" w:rsidR="005C7A72" w:rsidRDefault="009A2A24">
            <w:pPr>
              <w:spacing w:before="0" w:after="0"/>
            </w:pPr>
            <w:r>
              <w:rPr>
                <w:sz w:val="12"/>
              </w:rPr>
              <w:t>Ensures reported numbers match the displayed decision policy.</w:t>
            </w:r>
          </w:p>
        </w:tc>
      </w:tr>
      <w:tr w:rsidR="005C7A72" w14:paraId="51C5C25B" w14:textId="77777777">
        <w:trPr>
          <w:cantSplit/>
          <w:jc w:val="center"/>
        </w:trPr>
        <w:tc>
          <w:tcPr>
            <w:tcW w:w="1195" w:type="dxa"/>
            <w:tcMar>
              <w:top w:w="48" w:type="dxa"/>
              <w:left w:w="48" w:type="dxa"/>
              <w:bottom w:w="48" w:type="dxa"/>
              <w:right w:w="48" w:type="dxa"/>
            </w:tcMar>
            <w:vAlign w:val="top"/>
          </w:tcPr>
          <w:p w14:paraId="24CB6481" w14:textId="77777777" w:rsidR="005C7A72" w:rsidRDefault="009A2A24">
            <w:pPr>
              <w:spacing w:before="0" w:after="0"/>
            </w:pPr>
            <w:r>
              <w:rPr>
                <w:sz w:val="12"/>
              </w:rPr>
              <w:t>Claim-control matrix</w:t>
            </w:r>
          </w:p>
        </w:tc>
        <w:tc>
          <w:tcPr>
            <w:tcW w:w="2015" w:type="dxa"/>
            <w:tcMar>
              <w:top w:w="48" w:type="dxa"/>
              <w:left w:w="48" w:type="dxa"/>
              <w:bottom w:w="48" w:type="dxa"/>
              <w:right w:w="48" w:type="dxa"/>
            </w:tcMar>
            <w:vAlign w:val="top"/>
          </w:tcPr>
          <w:p w14:paraId="29DB5EF7" w14:textId="77777777" w:rsidR="005C7A72" w:rsidRDefault="009A2A24">
            <w:pPr>
              <w:spacing w:before="0" w:after="0"/>
            </w:pPr>
            <w:r>
              <w:rPr>
                <w:sz w:val="12"/>
              </w:rPr>
              <w:t>Unsupported claims are explicitly excluded, including universal SCRE superiority and automatic rejection suitability.</w:t>
            </w:r>
          </w:p>
        </w:tc>
        <w:tc>
          <w:tcPr>
            <w:tcW w:w="1756" w:type="dxa"/>
            <w:tcMar>
              <w:top w:w="48" w:type="dxa"/>
              <w:left w:w="48" w:type="dxa"/>
              <w:bottom w:w="48" w:type="dxa"/>
              <w:right w:w="48" w:type="dxa"/>
            </w:tcMar>
            <w:vAlign w:val="top"/>
          </w:tcPr>
          <w:p w14:paraId="5FD6E2C0" w14:textId="77777777" w:rsidR="005C7A72" w:rsidRDefault="009A2A24">
            <w:pPr>
              <w:spacing w:before="0" w:after="0"/>
            </w:pPr>
            <w:r>
              <w:rPr>
                <w:sz w:val="12"/>
              </w:rPr>
              <w:t>Protects the report from overstating what the experiments prove.</w:t>
            </w:r>
          </w:p>
        </w:tc>
      </w:tr>
      <w:tr w:rsidR="005C7A72" w14:paraId="1E4F0226" w14:textId="77777777">
        <w:trPr>
          <w:cantSplit/>
          <w:jc w:val="center"/>
        </w:trPr>
        <w:tc>
          <w:tcPr>
            <w:tcW w:w="1195" w:type="dxa"/>
            <w:tcMar>
              <w:top w:w="48" w:type="dxa"/>
              <w:left w:w="48" w:type="dxa"/>
              <w:bottom w:w="48" w:type="dxa"/>
              <w:right w:w="48" w:type="dxa"/>
            </w:tcMar>
            <w:vAlign w:val="top"/>
          </w:tcPr>
          <w:p w14:paraId="2ABDF866" w14:textId="77777777" w:rsidR="005C7A72" w:rsidRDefault="009A2A24">
            <w:pPr>
              <w:spacing w:before="0" w:after="0"/>
            </w:pPr>
            <w:r>
              <w:rPr>
                <w:sz w:val="12"/>
              </w:rPr>
              <w:t>Reproducibility</w:t>
            </w:r>
          </w:p>
        </w:tc>
        <w:tc>
          <w:tcPr>
            <w:tcW w:w="2015" w:type="dxa"/>
            <w:tcMar>
              <w:top w:w="48" w:type="dxa"/>
              <w:left w:w="48" w:type="dxa"/>
              <w:bottom w:w="48" w:type="dxa"/>
              <w:right w:w="48" w:type="dxa"/>
            </w:tcMar>
            <w:vAlign w:val="top"/>
          </w:tcPr>
          <w:p w14:paraId="54EF24A4" w14:textId="77777777" w:rsidR="005C7A72" w:rsidRDefault="009A2A24">
            <w:pPr>
              <w:spacing w:before="0" w:after="0"/>
            </w:pPr>
            <w:r>
              <w:rPr>
                <w:sz w:val="12"/>
              </w:rPr>
              <w:t>The codebase includes experiment scripts, dependency files, and tests for leakage, metrics, calibration, and thresholds.</w:t>
            </w:r>
          </w:p>
        </w:tc>
        <w:tc>
          <w:tcPr>
            <w:tcW w:w="1756" w:type="dxa"/>
            <w:tcMar>
              <w:top w:w="48" w:type="dxa"/>
              <w:left w:w="48" w:type="dxa"/>
              <w:bottom w:w="48" w:type="dxa"/>
              <w:right w:w="48" w:type="dxa"/>
            </w:tcMar>
            <w:vAlign w:val="top"/>
          </w:tcPr>
          <w:p w14:paraId="755D7B45" w14:textId="77777777" w:rsidR="005C7A72" w:rsidRDefault="009A2A24">
            <w:pPr>
              <w:spacing w:before="0" w:after="0"/>
            </w:pPr>
            <w:r>
              <w:rPr>
                <w:sz w:val="12"/>
              </w:rPr>
              <w:t xml:space="preserve">Allows the </w:t>
            </w:r>
            <w:r>
              <w:rPr>
                <w:sz w:val="12"/>
              </w:rPr>
              <w:t>instructor to trace the results without relying on the report alone.</w:t>
            </w:r>
          </w:p>
        </w:tc>
      </w:tr>
    </w:tbl>
    <w:p w14:paraId="58123DDA" w14:textId="77777777" w:rsidR="005C7A72" w:rsidRDefault="005C7A72">
      <w:pPr>
        <w:pStyle w:val="PARA"/>
      </w:pPr>
    </w:p>
    <w:p w14:paraId="4EDBAA10" w14:textId="77777777" w:rsidR="005C7A72" w:rsidRDefault="009A2A24">
      <w:pPr>
        <w:pStyle w:val="PARA"/>
      </w:pPr>
      <w:r>
        <w:t>The audit reports that the test set was not used for model selection, threshold selection, manual-review band selection, or calibration fitting. It also reports metric consistency for the locked final evidence. This audit trail is a major reason the revised manual-review system remains the final report version.</w:t>
      </w:r>
    </w:p>
    <w:p w14:paraId="5C1807CB" w14:textId="77777777" w:rsidR="005C7A72" w:rsidRDefault="009A2A24">
      <w:pPr>
        <w:pStyle w:val="H1ListSpace"/>
      </w:pPr>
      <w:r>
        <w:t>DISCUSSION</w:t>
      </w:r>
    </w:p>
    <w:p w14:paraId="20EFEABD" w14:textId="77777777" w:rsidR="005C7A72" w:rsidRDefault="009A2A24">
      <w:pPr>
        <w:pStyle w:val="PARA"/>
      </w:pPr>
      <w:r>
        <w:t xml:space="preserve">The results show a clear progression. The early pure cost-threshold approach maximized default capture </w:t>
      </w:r>
      <w:r>
        <w:t>aggressively but produced too many false positives. The final revised system uses validation-selected manual-review bands to move uncertain customers away from automatic decisions. This yields a more defensible screening workflow and a cleaner report claim.</w:t>
      </w:r>
    </w:p>
    <w:p w14:paraId="2F0D0F08" w14:textId="77777777" w:rsidR="005C7A72" w:rsidRDefault="009A2A24">
      <w:pPr>
        <w:pStyle w:val="PARA"/>
      </w:pPr>
      <w:r>
        <w:t>Dataset-specific winners are expected. Taiwan favors CatBoost for the final manual-review policy, while HELOC favors a scorecard. This does not weaken the project; it demonstrates that the framework can select different operational policies when the population and feature schema change. SCRE-Credit remains valuable as a reliability-aware framework and review-ranking tool, even when a single base model is the final operational recommendation.</w:t>
      </w:r>
    </w:p>
    <w:p w14:paraId="23066C7E" w14:textId="77777777" w:rsidR="005C7A72" w:rsidRDefault="009A2A24">
      <w:pPr>
        <w:pStyle w:val="PARA"/>
      </w:pPr>
      <w:r>
        <w:t>The conservative interpretation is central to the result. The report treats observed metrics as evidence for screening and review support, while governance, compliance, cost estimation, and deployment readiness remain separate requirements that must be validated before production use.</w:t>
      </w:r>
    </w:p>
    <w:p w14:paraId="487CD54C" w14:textId="77777777" w:rsidR="005C7A72" w:rsidRDefault="009A2A24">
      <w:pPr>
        <w:pStyle w:val="PARA"/>
      </w:pPr>
      <w:r>
        <w:t>This is why the final recommendation favors transparent workflow language over winner-takes-all language. Taiwan and HELOC show that different datasets can prefer different operational policies, and the framework is useful because it records those trade-offs rather than hiding them behind a single leaderboard.</w:t>
      </w:r>
    </w:p>
    <w:p>
      <w:pPr>
        <w:pStyle w:val="H1ListSpace"/>
      </w:pPr>
      <w:r>
        <w:t>LIMITATIONS AND THREATS TO VALIDITY</w:t>
      </w:r>
    </w:p>
    <w:p>
      <w:pPr>
        <w:pStyle w:val="PARA"/>
      </w:pPr>
      <w:r>
        <w:t>The main threats to validity come from data age, public-dataset scope, and deployment realism. The public datasets are historical and may not represent current bank portfolios; no real production deployment was performed; and no verified timestamp or application-date field supports true temporal validation. The FN=5, FP=1, review=0.5 cost model is a transparent proxy cost model, not a real institutional loss model.</w:t>
      </w:r>
    </w:p>
    <w:p>
      <w:pPr>
        <w:pStyle w:val="PARA"/>
      </w:pPr>
      <w:r>
        <w:t>HELOC supports framework portability but not direct population generalization from Taiwan. Feature richness is limited by public datasets because income, employment, bureau-level history, and real exposure/loss variables are unavailable. Explanation tools are diagnostic and do not establish causality, fairness compliance, or recourse validity. The final system is not suitable for automatic rejection without legal, fairness, temporal, and deployment validation.</w:t>
      </w:r>
    </w:p>
    <w:p w14:paraId="780F8EEF" w14:textId="77777777" w:rsidR="005C7A72" w:rsidRDefault="009A2A24">
      <w:pPr>
        <w:pStyle w:val="H1ListSpace"/>
      </w:pPr>
      <w:r>
        <w:t>CONCLUSION AND FUTURE WORK</w:t>
      </w:r>
    </w:p>
    <w:p w14:paraId="07EB6E39" w14:textId="77777777" w:rsidR="005C7A72" w:rsidRDefault="009A2A24">
      <w:pPr>
        <w:pStyle w:val="PARA"/>
      </w:pPr>
      <w:r>
        <w:t>This project delivers an audit-aware credit-risk screening framework rather than a highest-score classifier. The final revised evidence is report-ready because selection is validation-only and held-out test results are used only after policies are locked. The final Taiwan recommendation is a CatBoost manual-review policy; the final HELOC recommendation is a Scorecard manual-review policy. Both support screening and review prioritization, not automatic rejection.</w:t>
      </w:r>
    </w:p>
    <w:p w14:paraId="6DF03CDF" w14:textId="77777777" w:rsidR="005C7A72" w:rsidRDefault="009A2A24">
      <w:pPr>
        <w:pStyle w:val="PARA"/>
      </w:pPr>
      <w:r>
        <w:t>The final-attempt manual-review denominator problem was repaired during the weakness-closing phase, but the repaired alternatives remained appendix evidence because they did not outperform the final revised policies under the audit and operational criteria. Future work should estimate real operational costs, test temporal stability with timestamped application data, evaluate fairness and subgroup reliability under appropriate legal and ethical review, monitor deployment drift, implement a fully nested selection workflow, and prepare model cards for operational governance.</w:t>
      </w:r>
    </w:p>
    <w:p w14:paraId="345C31BF" w14:textId="77777777" w:rsidR="005C7A72" w:rsidRDefault="009A2A24">
      <w:pPr>
        <w:pStyle w:val="H1"/>
      </w:pPr>
      <w:r>
        <w:t>ACKNOWLEDGMENT</w:t>
      </w:r>
    </w:p>
    <w:p w14:paraId="4FED343E" w14:textId="77777777" w:rsidR="005C7A72" w:rsidRDefault="009A2A24">
      <w:pPr>
        <w:pStyle w:val="PARA"/>
      </w:pPr>
      <w:r>
        <w:t>OpenAI ChatGPT/Codex was used for drafting assistance, consistency checking, and formatting automation [20]. It was not used to generate unverified experimental results. All numerical outputs, tables, interpretations, and final claims were checked by the student against the project code and generated artifacts.</w:t>
      </w:r>
    </w:p>
    <w:p w14:paraId="59FA0FC7" w14:textId="77777777" w:rsidR="005C7A72" w:rsidRDefault="009A2A24">
      <w:pPr>
        <w:pStyle w:val="H1"/>
      </w:pPr>
      <w:r>
        <w:t>REFERENCES</w:t>
      </w:r>
    </w:p>
    <w:p w14:paraId="693C3CA7" w14:textId="77777777" w:rsidR="005C7A72" w:rsidRDefault="009A2A24">
      <w:pPr>
        <w:pStyle w:val="References"/>
      </w:pPr>
      <w:r>
        <w:t>I.-C. Yeh, "Default of Credit Card Clients," UCI Machine Learning Repository, 2016, doi: 10.24432/C55S3H.</w:t>
      </w:r>
    </w:p>
    <w:p w14:paraId="46EFBA12" w14:textId="77777777" w:rsidR="005C7A72" w:rsidRDefault="009A2A24">
      <w:pPr>
        <w:pStyle w:val="References"/>
      </w:pPr>
      <w:r>
        <w:t>I.-C. Yeh and C.-H. Lien, "The comparisons of data mining techniques for the predictive accuracy of probability of default of credit card clients," Expert Syst. Appl., vol. 36, no. 2, pp. 2473-2480, Mar. 2009, doi: 10.1016/j.eswa.2007.12.020.</w:t>
      </w:r>
    </w:p>
    <w:p w14:paraId="75C2117D" w14:textId="77777777" w:rsidR="005C7A72" w:rsidRDefault="009A2A24">
      <w:pPr>
        <w:pStyle w:val="References"/>
      </w:pPr>
      <w:r>
        <w:t>Fair Isaac Corporation, "FICO Announces xML Challenge," Apr. 9, 2018. [Online]. Available: https://investors.fico.com/news-releases/news-release-details/fico-announces-xml-challenge. Accessed: May 23, 2026.</w:t>
      </w:r>
    </w:p>
    <w:p w14:paraId="3125D728" w14:textId="77777777" w:rsidR="005C7A72" w:rsidRDefault="009A2A24">
      <w:pPr>
        <w:pStyle w:val="References"/>
      </w:pPr>
      <w:r>
        <w:t>OpenML, "FICO-HELOC-cleaned," data set 45554. [Online]. Available: https://www.openml.org/d/45554. Accessed: May 23, 2026.</w:t>
      </w:r>
    </w:p>
    <w:p w14:paraId="13BBDEFE" w14:textId="77777777" w:rsidR="005C7A72" w:rsidRDefault="009A2A24">
      <w:pPr>
        <w:pStyle w:val="References"/>
      </w:pPr>
      <w:r>
        <w:t>F. Pedregosa et al., "Scikit-learn: Machine learning in Python," J. Mach. Learn. Res., vol. 12, pp. 2825-2830, 2011.</w:t>
      </w:r>
    </w:p>
    <w:p w14:paraId="2966785D" w14:textId="77777777" w:rsidR="005C7A72" w:rsidRDefault="009A2A24">
      <w:pPr>
        <w:pStyle w:val="References"/>
      </w:pPr>
      <w:r>
        <w:t>T. Chen and C. Guestrin, "XGBoost: A scalable tree boosting system," in Proc. 22nd ACM SIGKDD Int. Conf. Knowl. Discovery Data Mining, 2016, pp. 785-794, doi: 10.1145/2939672.2939785.</w:t>
      </w:r>
    </w:p>
    <w:p w14:paraId="5B244334" w14:textId="77777777" w:rsidR="005C7A72" w:rsidRDefault="009A2A24">
      <w:pPr>
        <w:pStyle w:val="References"/>
      </w:pPr>
      <w:r>
        <w:t>G. Ke et al., "LightGBM: A highly efficient gradient boosting decision tree," in Adv. Neural Inf. Process. Syst., vol. 30, 2017.</w:t>
      </w:r>
    </w:p>
    <w:p w14:paraId="1932FD4E" w14:textId="77777777" w:rsidR="005C7A72" w:rsidRDefault="009A2A24">
      <w:pPr>
        <w:pStyle w:val="References"/>
      </w:pPr>
      <w:r>
        <w:t>L. Prokhorenkova, G. Gusev, A. Vorobev, A. V. Dorogush, and A. Gulin, "CatBoost: Unbiased boosting with categorical features," in Adv. Neural Inf. Process. Syst., vol. 31, 2018.</w:t>
      </w:r>
    </w:p>
    <w:p w14:paraId="542C63E4" w14:textId="77777777" w:rsidR="005C7A72" w:rsidRDefault="009A2A24">
      <w:pPr>
        <w:pStyle w:val="References"/>
      </w:pPr>
      <w:r>
        <w:t>N. V. Chawla, K. W. Bowyer, L. O. Hall, and W. P. Kegelmeyer, "SMOTE: Synthetic minority over-sampling technique," J. Artif. Intell. Res., vol. 16, pp. 321-357, 2002.</w:t>
      </w:r>
    </w:p>
    <w:p w14:paraId="4600F167" w14:textId="77777777" w:rsidR="005C7A72" w:rsidRDefault="009A2A24">
      <w:pPr>
        <w:pStyle w:val="References"/>
      </w:pPr>
      <w:r>
        <w:t>G. Lemaitre, F. Nogueira, and C. K. Aridas, "Imbalanced-learn: A Python toolbox to tackle the curse of imbalanced datasets in machine learning," J. Mach. Learn. Res., vol. 18, no. 17, pp. 1-5, 2017.</w:t>
      </w:r>
    </w:p>
    <w:p w14:paraId="2D39D283" w14:textId="77777777" w:rsidR="005C7A72" w:rsidRDefault="009A2A24">
      <w:pPr>
        <w:pStyle w:val="References"/>
      </w:pPr>
      <w:r>
        <w:t>A. Niculescu-Mizil and R. Caruana, "Predicting good probabilities with supervised learning," in Proc. 22nd Int. Conf. Mach. Learn., 2005, pp. 625-632, doi: 10.1145/1102351.1102430.</w:t>
      </w:r>
    </w:p>
    <w:p w14:paraId="1E4DBA1E" w14:textId="77777777" w:rsidR="005C7A72" w:rsidRDefault="009A2A24">
      <w:pPr>
        <w:pStyle w:val="References"/>
      </w:pPr>
      <w:r>
        <w:t>S. M. Lundberg and S.-I. Lee, "A unified approach to interpreting model predictions," in Adv. Neural Inf. Process. Syst., vol. 30, 2017.</w:t>
      </w:r>
    </w:p>
    <w:p w14:paraId="26E9D22A" w14:textId="77777777" w:rsidR="005C7A72" w:rsidRDefault="009A2A24">
      <w:pPr>
        <w:pStyle w:val="References"/>
      </w:pPr>
      <w:r>
        <w:t>M. T. Ribeiro, S. Singh, and C. Guestrin, "Why should I trust you?: Explaining the predictions of any classifier," in Proc. 22nd ACM SIGKDD Int. Conf. Knowl. Discovery Data Mining, 2016, pp. 1135-1144.</w:t>
      </w:r>
    </w:p>
    <w:p w14:paraId="733050C0" w14:textId="77777777" w:rsidR="005C7A72" w:rsidRDefault="009A2A24">
      <w:pPr>
        <w:pStyle w:val="References"/>
      </w:pPr>
      <w:r>
        <w:t>A. J. Vickers and E. B. Elkin, "Decision curve analysis: A novel method for evaluating prediction models," Med. Decis. Making, vol. 26, no. 6, pp. 565-574, 2006, doi: 10.1177/0272989X06295361.</w:t>
      </w:r>
    </w:p>
    <w:p>
      <w:pPr>
        <w:pStyle w:val="References"/>
      </w:pPr>
      <w:r>
        <w:t>T. M. Alam, K. Shaukat, I. A. Hameed, S. Luo, M. U. Sarwar, S. Shabbir, J. Li, and M. Khushi, "An investigation of credit card default prediction in the imbalanced datasets," IEEE Access, vol. 8, pp. 201173-201198, 2020, doi: 10.1109/ACCESS.2020.3033784.</w:t>
      </w:r>
    </w:p>
    <w:p>
      <w:pPr>
        <w:pStyle w:val="References"/>
      </w:pPr>
      <w:r>
        <w:t>Y. Chen, R. Zhang, and B. M. Tabak, "Research on credit card default prediction based on k-means SMOTE and BP neural network," Complexity, vol. 2021, Art. no. 6618841, pp. 1-13, 2021, doi: 10.1155/2021/6618841.</w:t>
      </w:r>
    </w:p>
    <w:p>
      <w:pPr>
        <w:pStyle w:val="References"/>
      </w:pPr>
      <w:r>
        <w:t>F. M. Talaat, A. Aljadani, M. Badawy, and M. Elhosseini, "Toward interpretable credit scoring: integrating explainable artificial intelligence with deep learning for credit card default prediction," Neural Comput. Appl., vol. 36, no. 9, pp. 4847-4865, 2024, doi: 10.1007/s00521-023-09232-2.</w:t>
      </w:r>
    </w:p>
    <w:p>
      <w:pPr>
        <w:pStyle w:val="References"/>
      </w:pPr>
      <w:r>
        <w:t>R. Bhandary and B. K. Ghosh, "Credit card default prediction: An empirical analysis on predictive performance using statistical and machine learning methods," J. Risk Financial Manag., vol. 18, no. 1, Art. no. 23, 2025, doi: 10.3390/jrfm18010023.</w:t>
      </w:r>
    </w:p>
    <w:p>
      <w:pPr>
        <w:pStyle w:val="References"/>
      </w:pPr>
      <w:r>
        <w:t>L. Lin and Y. Wang, "SHAP stability in credit risk management: A case study in credit card default model," Risks, vol. 13, no. 12, Art. no. 238, 2025, doi: 10.3390/risks13120238.</w:t>
      </w:r>
    </w:p>
    <w:p w14:paraId="1F96B822" w14:textId="77777777" w:rsidR="005C7A72" w:rsidRDefault="009A2A24">
      <w:pPr>
        <w:pStyle w:val="References"/>
      </w:pPr>
      <w:r>
        <w:t>OpenAI, "What is ChatGPT? FAQ," OpenAI Help Center. [Online]. Available: https://help.openai.com/en/articles/12677804. Accessed: May 23, 2026.</w:t>
      </w:r>
    </w:p>
    <w:sectPr w:rsidR="005C7A72" w:rsidSect="00CB2DB1">
      <w:footerReference w:type="even" r:id="rId20"/>
      <w:footerReference w:type="default" r:id="rId21"/>
      <w:footerReference w:type="first" r:id="rId22"/>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28492" w14:textId="77777777" w:rsidR="00CB2DB1" w:rsidRDefault="00CB2DB1">
      <w:r>
        <w:separator/>
      </w:r>
    </w:p>
  </w:endnote>
  <w:endnote w:type="continuationSeparator" w:id="0">
    <w:p w14:paraId="3ADE9F5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A2"/>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DE82E" w14:textId="77777777" w:rsidR="005C7A72" w:rsidRDefault="009A2A24">
    <w:pPr>
      <w:pStyle w:val="AltBilgi"/>
      <w:tabs>
        <w:tab w:val="right" w:pos="10040"/>
      </w:tabs>
    </w:pPr>
    <w:r>
      <w:rPr>
        <w:sz w:val="16"/>
      </w:rPr>
      <w:t>VOLUME XX, 2026</w:t>
    </w:r>
    <w:r>
      <w:tab/>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FE3AF" w14:textId="77777777" w:rsidR="009C79C4" w:rsidRPr="00B979BB" w:rsidRDefault="009C79C4" w:rsidP="00422716">
    <w:pPr>
      <w:pStyle w:val="AltBilgi"/>
      <w:tabs>
        <w:tab w:val="right" w:pos="10040"/>
      </w:tabs>
      <w:rPr>
        <w:rFonts w:ascii="Helvetica" w:hAnsi="Helvetica"/>
        <w:sz w:val="12"/>
        <w:szCs w:val="12"/>
      </w:rPr>
    </w:pPr>
    <w:r>
      <w:rPr>
        <w:sz w:val="16"/>
      </w:rPr>
      <w:t>VOLUME XX, 2026</w:t>
    </w:r>
    <w:r>
      <w:tab/>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A1DAE" w14:textId="77777777" w:rsidR="005C7A72" w:rsidRDefault="009A2A24">
    <w:pPr>
      <w:pStyle w:val="AltBilgi"/>
      <w:tabs>
        <w:tab w:val="right" w:pos="10040"/>
      </w:tabs>
    </w:pPr>
    <w:r>
      <w:rPr>
        <w:sz w:val="16"/>
      </w:rPr>
      <w:t>VOLUME XX, 2026</w:t>
    </w:r>
    <w:r>
      <w:tab/>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C93EA" w14:textId="77777777" w:rsidR="005C7A72" w:rsidRDefault="009A2A24">
    <w:pPr>
      <w:pStyle w:val="AltBilgi"/>
      <w:tabs>
        <w:tab w:val="right" w:pos="10040"/>
      </w:tabs>
    </w:pPr>
    <w:r>
      <w:rPr>
        <w:sz w:val="16"/>
      </w:rPr>
      <w:t>VOLUME XX, 2026</w:t>
    </w:r>
    <w:r>
      <w:tab/>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C890" w14:textId="77777777" w:rsidR="005C7A72" w:rsidRDefault="009A2A24">
    <w:pPr>
      <w:pStyle w:val="AltBilgi"/>
      <w:tabs>
        <w:tab w:val="right" w:pos="10040"/>
      </w:tabs>
    </w:pPr>
    <w:r>
      <w:rPr>
        <w:sz w:val="16"/>
      </w:rPr>
      <w:t>VOLUME XX, 2026</w:t>
    </w:r>
    <w:r>
      <w:tab/>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B10A2" w14:textId="77777777" w:rsidR="005C7A72" w:rsidRDefault="009A2A24">
    <w:pPr>
      <w:pStyle w:val="AltBilgi"/>
      <w:tabs>
        <w:tab w:val="right" w:pos="10040"/>
      </w:tabs>
    </w:pPr>
    <w:r>
      <w:rPr>
        <w:sz w:val="16"/>
      </w:rPr>
      <w:t>VOLUME XX, 2026</w:t>
    </w:r>
    <w:r>
      <w:tab/>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C2CD9" w14:textId="77777777" w:rsidR="00CB2DB1" w:rsidRDefault="00CB2DB1">
      <w:r>
        <w:separator/>
      </w:r>
    </w:p>
  </w:footnote>
  <w:footnote w:type="continuationSeparator" w:id="0">
    <w:p w14:paraId="471DDC43" w14:textId="77777777" w:rsidR="00CB2DB1" w:rsidRDefault="00CB2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D7D61" w14:textId="77777777" w:rsidR="009A2A24" w:rsidRDefault="009A2A2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2047" w14:textId="77777777" w:rsidR="009C79C4" w:rsidRPr="00E721A9" w:rsidRDefault="009C79C4" w:rsidP="00E721A9">
    <w:pPr>
      <w:pStyle w:val="stBilgi"/>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69BD3E0C" wp14:editId="1C024DEB">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B8EBC" w14:textId="77777777" w:rsidR="009A2A24" w:rsidRDefault="009A2A2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Balk1"/>
      <w:lvlText w:val="%1."/>
      <w:legacy w:legacy="1" w:legacySpace="144" w:legacyIndent="144"/>
      <w:lvlJc w:val="left"/>
    </w:lvl>
    <w:lvl w:ilvl="1">
      <w:start w:val="1"/>
      <w:numFmt w:val="upperLetter"/>
      <w:pStyle w:val="Balk2"/>
      <w:lvlText w:val="%2."/>
      <w:legacy w:legacy="1" w:legacySpace="144" w:legacyIndent="144"/>
      <w:lvlJc w:val="left"/>
      <w:rPr>
        <w:b w:val="0"/>
      </w:rPr>
    </w:lvl>
    <w:lvl w:ilvl="2">
      <w:start w:val="1"/>
      <w:numFmt w:val="decimal"/>
      <w:pStyle w:val="Balk3"/>
      <w:lvlText w:val="%3)"/>
      <w:legacy w:legacy="1" w:legacySpace="144" w:legacyIndent="144"/>
      <w:lvlJc w:val="left"/>
      <w:rPr>
        <w:i/>
      </w:rPr>
    </w:lvl>
    <w:lvl w:ilvl="3">
      <w:start w:val="1"/>
      <w:numFmt w:val="lowerLetter"/>
      <w:pStyle w:val="Balk4"/>
      <w:lvlText w:val="%4)"/>
      <w:legacy w:legacy="1" w:legacySpace="0" w:legacyIndent="720"/>
      <w:lvlJc w:val="left"/>
      <w:pPr>
        <w:ind w:left="1152" w:hanging="720"/>
      </w:pPr>
    </w:lvl>
    <w:lvl w:ilvl="4">
      <w:start w:val="1"/>
      <w:numFmt w:val="decimal"/>
      <w:pStyle w:val="Balk5"/>
      <w:lvlText w:val="(%5)"/>
      <w:legacy w:legacy="1" w:legacySpace="0" w:legacyIndent="720"/>
      <w:lvlJc w:val="left"/>
      <w:pPr>
        <w:ind w:left="1872" w:hanging="720"/>
      </w:pPr>
    </w:lvl>
    <w:lvl w:ilvl="5">
      <w:start w:val="1"/>
      <w:numFmt w:val="lowerLetter"/>
      <w:pStyle w:val="Balk6"/>
      <w:lvlText w:val="(%6)"/>
      <w:legacy w:legacy="1" w:legacySpace="0" w:legacyIndent="720"/>
      <w:lvlJc w:val="left"/>
      <w:pPr>
        <w:ind w:left="2592" w:hanging="720"/>
      </w:pPr>
    </w:lvl>
    <w:lvl w:ilvl="6">
      <w:start w:val="1"/>
      <w:numFmt w:val="lowerRoman"/>
      <w:pStyle w:val="Balk7"/>
      <w:lvlText w:val="(%7)"/>
      <w:legacy w:legacy="1" w:legacySpace="0" w:legacyIndent="720"/>
      <w:lvlJc w:val="left"/>
      <w:pPr>
        <w:ind w:left="3312" w:hanging="720"/>
      </w:pPr>
    </w:lvl>
    <w:lvl w:ilvl="7">
      <w:start w:val="1"/>
      <w:numFmt w:val="lowerLetter"/>
      <w:pStyle w:val="Balk8"/>
      <w:lvlText w:val="(%8)"/>
      <w:legacy w:legacy="1" w:legacySpace="0" w:legacyIndent="720"/>
      <w:lvlJc w:val="left"/>
      <w:pPr>
        <w:ind w:left="4032" w:hanging="720"/>
      </w:pPr>
    </w:lvl>
    <w:lvl w:ilvl="8">
      <w:start w:val="1"/>
      <w:numFmt w:val="lowerRoman"/>
      <w:pStyle w:val="Balk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A72"/>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2C45"/>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2A24"/>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E0AB7"/>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Balk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Balk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Balk3">
    <w:name w:val="heading 3"/>
    <w:basedOn w:val="Normal"/>
    <w:next w:val="Normal"/>
    <w:qFormat/>
    <w:rsid w:val="00BE0B38"/>
    <w:pPr>
      <w:keepNext/>
      <w:numPr>
        <w:ilvl w:val="2"/>
        <w:numId w:val="1"/>
      </w:numPr>
      <w:outlineLvl w:val="2"/>
    </w:pPr>
    <w:rPr>
      <w:i/>
      <w:iCs/>
      <w:sz w:val="20"/>
      <w:szCs w:val="20"/>
    </w:rPr>
  </w:style>
  <w:style w:type="paragraph" w:styleId="Balk4">
    <w:name w:val="heading 4"/>
    <w:basedOn w:val="Normal"/>
    <w:next w:val="Normal"/>
    <w:qFormat/>
    <w:rsid w:val="00BE0B38"/>
    <w:pPr>
      <w:keepNext/>
      <w:numPr>
        <w:ilvl w:val="3"/>
        <w:numId w:val="1"/>
      </w:numPr>
      <w:spacing w:before="240" w:after="60"/>
      <w:outlineLvl w:val="3"/>
    </w:pPr>
    <w:rPr>
      <w:i/>
      <w:iCs/>
      <w:sz w:val="18"/>
      <w:szCs w:val="18"/>
    </w:rPr>
  </w:style>
  <w:style w:type="paragraph" w:styleId="Balk5">
    <w:name w:val="heading 5"/>
    <w:basedOn w:val="Normal"/>
    <w:next w:val="Normal"/>
    <w:qFormat/>
    <w:rsid w:val="00BE0B38"/>
    <w:pPr>
      <w:numPr>
        <w:ilvl w:val="4"/>
        <w:numId w:val="1"/>
      </w:numPr>
      <w:spacing w:before="240" w:after="60"/>
      <w:outlineLvl w:val="4"/>
    </w:pPr>
    <w:rPr>
      <w:sz w:val="18"/>
      <w:szCs w:val="18"/>
    </w:rPr>
  </w:style>
  <w:style w:type="paragraph" w:styleId="Balk6">
    <w:name w:val="heading 6"/>
    <w:basedOn w:val="Normal"/>
    <w:next w:val="Normal"/>
    <w:qFormat/>
    <w:rsid w:val="00BE0B38"/>
    <w:pPr>
      <w:numPr>
        <w:ilvl w:val="5"/>
        <w:numId w:val="1"/>
      </w:numPr>
      <w:spacing w:before="240" w:after="60"/>
      <w:outlineLvl w:val="5"/>
    </w:pPr>
    <w:rPr>
      <w:i/>
      <w:iCs/>
      <w:sz w:val="16"/>
      <w:szCs w:val="16"/>
    </w:rPr>
  </w:style>
  <w:style w:type="paragraph" w:styleId="Balk7">
    <w:name w:val="heading 7"/>
    <w:basedOn w:val="Normal"/>
    <w:next w:val="Normal"/>
    <w:qFormat/>
    <w:rsid w:val="00BE0B38"/>
    <w:pPr>
      <w:numPr>
        <w:ilvl w:val="6"/>
        <w:numId w:val="1"/>
      </w:numPr>
      <w:spacing w:before="240" w:after="60"/>
      <w:outlineLvl w:val="6"/>
    </w:pPr>
    <w:rPr>
      <w:sz w:val="16"/>
      <w:szCs w:val="16"/>
    </w:rPr>
  </w:style>
  <w:style w:type="paragraph" w:styleId="Balk8">
    <w:name w:val="heading 8"/>
    <w:basedOn w:val="Normal"/>
    <w:next w:val="Normal"/>
    <w:qFormat/>
    <w:rsid w:val="00BE0B38"/>
    <w:pPr>
      <w:numPr>
        <w:ilvl w:val="7"/>
        <w:numId w:val="1"/>
      </w:numPr>
      <w:spacing w:before="240" w:after="60"/>
      <w:outlineLvl w:val="7"/>
    </w:pPr>
    <w:rPr>
      <w:i/>
      <w:iCs/>
      <w:sz w:val="16"/>
      <w:szCs w:val="16"/>
    </w:rPr>
  </w:style>
  <w:style w:type="paragraph" w:styleId="Balk9">
    <w:name w:val="heading 9"/>
    <w:basedOn w:val="Normal"/>
    <w:next w:val="Normal"/>
    <w:qFormat/>
    <w:rsid w:val="00BE0B38"/>
    <w:pPr>
      <w:numPr>
        <w:ilvl w:val="8"/>
        <w:numId w:val="1"/>
      </w:numPr>
      <w:spacing w:before="240" w:after="60"/>
      <w:outlineLvl w:val="8"/>
    </w:pPr>
    <w:rPr>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stBilgi">
    <w:name w:val="header"/>
    <w:basedOn w:val="Normal"/>
    <w:rsid w:val="00E721A9"/>
    <w:pPr>
      <w:tabs>
        <w:tab w:val="center" w:pos="4320"/>
        <w:tab w:val="right" w:pos="8640"/>
      </w:tabs>
    </w:pPr>
  </w:style>
  <w:style w:type="paragraph" w:styleId="AltBilgi">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DipnotMetni">
    <w:name w:val="footnote text"/>
    <w:basedOn w:val="Normal"/>
    <w:link w:val="DipnotMetni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DipnotMetniChar">
    <w:name w:val="Dipnot Metni Char"/>
    <w:link w:val="DipnotMetni"/>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DipnotBavurusu">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onMetni">
    <w:name w:val="Balloon Text"/>
    <w:basedOn w:val="Normal"/>
    <w:link w:val="BalonMetniChar"/>
    <w:rsid w:val="00B43D5E"/>
    <w:rPr>
      <w:rFonts w:ascii="Tahoma" w:hAnsi="Tahoma" w:cs="Tahoma"/>
      <w:sz w:val="16"/>
      <w:szCs w:val="16"/>
    </w:rPr>
  </w:style>
  <w:style w:type="character" w:customStyle="1" w:styleId="BalonMetniChar">
    <w:name w:val="Balon Metni Char"/>
    <w:basedOn w:val="VarsaylanParagrafYazTipi"/>
    <w:link w:val="BalonMetni"/>
    <w:rsid w:val="00B43D5E"/>
    <w:rPr>
      <w:rFonts w:ascii="Tahoma" w:hAnsi="Tahoma" w:cs="Tahoma"/>
      <w:sz w:val="16"/>
      <w:szCs w:val="16"/>
      <w:lang w:val="en-US" w:eastAsia="en-US"/>
    </w:rPr>
  </w:style>
  <w:style w:type="character" w:styleId="AklamaBavurusu">
    <w:name w:val="annotation reference"/>
    <w:basedOn w:val="VarsaylanParagrafYazTipi"/>
    <w:semiHidden/>
    <w:unhideWhenUsed/>
    <w:rsid w:val="006621CC"/>
    <w:rPr>
      <w:sz w:val="16"/>
      <w:szCs w:val="16"/>
    </w:rPr>
  </w:style>
  <w:style w:type="paragraph" w:styleId="AklamaMetni">
    <w:name w:val="annotation text"/>
    <w:basedOn w:val="Normal"/>
    <w:link w:val="AklamaMetniChar"/>
    <w:unhideWhenUsed/>
    <w:rsid w:val="006621CC"/>
    <w:rPr>
      <w:sz w:val="20"/>
      <w:szCs w:val="20"/>
    </w:rPr>
  </w:style>
  <w:style w:type="character" w:customStyle="1" w:styleId="AklamaMetniChar">
    <w:name w:val="Açıklama Metni Char"/>
    <w:basedOn w:val="VarsaylanParagrafYazTipi"/>
    <w:link w:val="AklamaMetni"/>
    <w:rsid w:val="006621CC"/>
    <w:rPr>
      <w:lang w:val="en-US" w:eastAsia="en-US"/>
    </w:rPr>
  </w:style>
  <w:style w:type="paragraph" w:styleId="AklamaKonusu">
    <w:name w:val="annotation subject"/>
    <w:basedOn w:val="AklamaMetni"/>
    <w:next w:val="AklamaMetni"/>
    <w:link w:val="AklamaKonusuChar"/>
    <w:semiHidden/>
    <w:unhideWhenUsed/>
    <w:rsid w:val="006621CC"/>
    <w:rPr>
      <w:b/>
      <w:bCs/>
    </w:rPr>
  </w:style>
  <w:style w:type="character" w:customStyle="1" w:styleId="AklamaKonusuChar">
    <w:name w:val="Açıklama Konusu Char"/>
    <w:basedOn w:val="AklamaMetniChar"/>
    <w:link w:val="AklamaKonusu"/>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Vurgu">
    <w:name w:val="Emphasis"/>
    <w:basedOn w:val="VarsaylanParagrafYazTipi"/>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6.xml"/><Relationship Id="rId25"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4293</Words>
  <Characters>24475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28711</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SCRE-Credit Final IEEE Access Report</dc:title>
  <dc:subject>ECE 565 Data Mining Final Project</dc:subject>
  <dc:creator>Resul Ozkale</dc:creator>
  <cp:keywords>calibration, credit risk, explainable machine learning, manual review, threshold selection</cp:keywords>
  <cp:lastModifiedBy>Resul Özkale</cp:lastModifiedBy>
  <cp:revision>5</cp:revision>
  <cp:lastPrinted>2022-11-11T11:49:00Z</cp:lastPrinted>
  <dcterms:created xsi:type="dcterms:W3CDTF">2024-04-29T14:52:00Z</dcterms:created>
  <dcterms:modified xsi:type="dcterms:W3CDTF">2026-05-22T23:04:00Z</dcterms:modified>
</cp:coreProperties>
</file>