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b/>
          <w:bCs/>
          <w:sz w:val="36"/>
          <w:szCs w:val="36"/>
        </w:rPr>
        <w:t xml:space="preserve">Revision Report</w:t>
      </w:r>
    </w:p>
    <w:p>
      <w:pPr>
        <w:spacing w:after="100"/>
        <w:jc w:val="left"/>
      </w:pPr>
      <w:r>
        <w:rPr>
          <w:rFonts w:ascii="Times New Roman" w:cs="Times New Roman" w:eastAsia="Times New Roman" w:hAnsi="Times New Roman"/>
          <w:sz w:val="22"/>
          <w:szCs w:val="22"/>
        </w:rPr>
        <w:t xml:space="preserve">Companion to: AI-Based Resume Screening and AI-Assisted Interview Evaluation Framework with Proctoring System</w:t>
      </w:r>
    </w:p>
    <w:p>
      <w:pPr>
        <w:pStyle w:val="Heading1"/>
        <w:spacing w:after="100" w:before="240"/>
      </w:pPr>
      <w:r>
        <w:rPr>
          <w:rFonts w:ascii="Times New Roman" w:cs="Times New Roman" w:eastAsia="Times New Roman" w:hAnsi="Times New Roman"/>
          <w:b/>
          <w:bCs/>
          <w:sz w:val="26"/>
          <w:szCs w:val="26"/>
        </w:rPr>
        <w:t xml:space="preserve">1. What was done</w:t>
      </w:r>
    </w:p>
    <w:p>
      <w:pPr>
        <w:pStyle w:val="ListParagraph"/>
        <w:numPr>
          <w:ilvl w:val="0"/>
          <w:numId w:val="2"/>
        </w:numPr>
        <w:spacing w:after="60"/>
      </w:pPr>
      <w:r>
        <w:rPr>
          <w:rFonts w:ascii="Times New Roman" w:cs="Times New Roman" w:eastAsia="Times New Roman" w:hAnsi="Times New Roman"/>
          <w:sz w:val="21"/>
          <w:szCs w:val="21"/>
        </w:rPr>
        <w:t xml:space="preserve">Rewrote the full manuscript in IEEE two-column conference style with the requested section order (I Introduction … IX Conclusion and Future Work), the author block Jeet Mehta, Pruthvi Mehta, Vedant Korade, Prof. Mrunali Desai, and a single numbered reference list.</w:t>
      </w:r>
    </w:p>
    <w:p>
      <w:pPr>
        <w:pStyle w:val="ListParagraph"/>
        <w:numPr>
          <w:ilvl w:val="0"/>
          <w:numId w:val="2"/>
        </w:numPr>
        <w:spacing w:after="60"/>
      </w:pPr>
      <w:r>
        <w:rPr>
          <w:rFonts w:ascii="Times New Roman" w:cs="Times New Roman" w:eastAsia="Times New Roman" w:hAnsi="Times New Roman"/>
          <w:sz w:val="21"/>
          <w:szCs w:val="21"/>
        </w:rPr>
        <w:t xml:space="preserve">Rebuilt all equations as plain mathematical text. The unsupported operatorname macro no longer appears anywhere; clamp and round are written as ordinary function names and clamp is defined as min(max(x, a), b). Equations are numbered (1)–(13) and every symbol is defined at first use. Variable clashes in the original were removed (criterion scores a_i and b_j, competence θ, generator bias β).</w:t>
      </w:r>
    </w:p>
    <w:p>
      <w:pPr>
        <w:pStyle w:val="ListParagraph"/>
        <w:numPr>
          <w:ilvl w:val="0"/>
          <w:numId w:val="2"/>
        </w:numPr>
        <w:spacing w:after="60"/>
      </w:pPr>
      <w:r>
        <w:rPr>
          <w:rFonts w:ascii="Times New Roman" w:cs="Times New Roman" w:eastAsia="Times New Roman" w:hAnsi="Times New Roman"/>
          <w:sz w:val="21"/>
          <w:szCs w:val="21"/>
        </w:rPr>
        <w:t xml:space="preserve">Condensed to fit 8–9 pages with room for additional references: four of the project's generated figures were kept (architecture, rank movement, lambda sweep, egress) and five tables (modules, rankers, per-case movement, across-seed intervals, latency); the other figures and tables are summarized in text. Tables were renumbered (the original jumped from II to V), cross-references were rewritten to the new sections, and the mislettered headings (second "I." sections, "IX. References") were corrected.</w:t>
      </w:r>
    </w:p>
    <w:p>
      <w:pPr>
        <w:pStyle w:val="ListParagraph"/>
        <w:numPr>
          <w:ilvl w:val="0"/>
          <w:numId w:val="2"/>
        </w:numPr>
        <w:spacing w:after="60"/>
      </w:pPr>
      <w:r>
        <w:rPr>
          <w:rFonts w:ascii="Times New Roman" w:cs="Times New Roman" w:eastAsia="Times New Roman" w:hAnsi="Times New Roman"/>
          <w:sz w:val="21"/>
          <w:szCs w:val="21"/>
        </w:rPr>
        <w:t xml:space="preserve">Used the Lo et al. paper as a stylistic guide only, and cited it as [5] for what it reports (four agents, RAG evaluator, 105 anonymized resumes, comparison with single LLMs, video-interview analysis as future work). No text, figures, tables, or results were copied.</w:t>
      </w:r>
    </w:p>
    <w:p>
      <w:pPr>
        <w:pStyle w:val="ListParagraph"/>
        <w:numPr>
          <w:ilvl w:val="0"/>
          <w:numId w:val="2"/>
        </w:numPr>
        <w:spacing w:after="60"/>
      </w:pPr>
      <w:r>
        <w:rPr>
          <w:rFonts w:ascii="Times New Roman" w:cs="Times New Roman" w:eastAsia="Times New Roman" w:hAnsi="Times New Roman"/>
          <w:sz w:val="21"/>
          <w:szCs w:val="21"/>
        </w:rPr>
        <w:t xml:space="preserve">Kept every number, parameter, and limitation from the manuscript. Nothing was added to the results; the only new sentences are definitions and connecting prose.</w:t>
      </w:r>
    </w:p>
    <w:p>
      <w:pPr>
        <w:pStyle w:val="ListParagraph"/>
        <w:numPr>
          <w:ilvl w:val="0"/>
          <w:numId w:val="2"/>
        </w:numPr>
        <w:spacing w:after="60"/>
      </w:pPr>
      <w:r>
        <w:rPr>
          <w:rFonts w:ascii="Times New Roman" w:cs="Times New Roman" w:eastAsia="Times New Roman" w:hAnsi="Times New Roman"/>
          <w:sz w:val="21"/>
          <w:szCs w:val="21"/>
        </w:rPr>
        <w:t xml:space="preserve">Kept the original title. If a title that names the audit is preferred, the revision guide suggests "Can an Interview Stage Correct Resume-Screening Errors? A Controlled Audit of a Locally Deployable AI Hiring Pipeline."</w:t>
      </w:r>
    </w:p>
    <w:p>
      <w:pPr>
        <w:pStyle w:val="Heading1"/>
        <w:spacing w:after="100" w:before="240"/>
      </w:pPr>
      <w:r>
        <w:rPr>
          <w:rFonts w:ascii="Times New Roman" w:cs="Times New Roman" w:eastAsia="Times New Roman" w:hAnsi="Times New Roman"/>
          <w:b/>
          <w:bCs/>
          <w:sz w:val="26"/>
          <w:szCs w:val="26"/>
        </w:rPr>
        <w:t xml:space="preserve">2. Discrepancies found (not silently resolved)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00"/>
        <w:gridCol w:w="8500"/>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Item</w:t>
            </w:r>
          </w:p>
        </w:tc>
        <w:tc>
          <w:tcPr>
            <w:tcW w:type="dxa" w:w="85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Finding and handling</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Resolved by implementation reply (2026-10-11)</w:t>
            </w:r>
          </w:p>
        </w:tc>
        <w:tc>
          <w:tcPr>
            <w:tcW w:type="dxa" w:w="8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Baseline role (data engineer; requirements corrected to Python, SQL, ETL, Pandas, AWS basics and the role named explicitly); Table II vs Sec. VII-B (tie-break by candidate id versus keyword score: 97 of 100 candidates share a score, 83 positions differ, both values now reported with the explanation); result-file counts (earlier run; regenerated files now give 243 quantities, 16 unavailable, nine scenarios); hard negatives (ten; the security document was wrong); C++/"C" case (now described as a labelling question).</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Artefact counts updated</w:t>
            </w:r>
          </w:p>
        </w:tc>
        <w:tc>
          <w:tcPr>
            <w:tcW w:type="dxa" w:w="8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Test cases 371 to 404, test files 15 to 18, test functions 358 to 385, source files 33 to 34, source lines 10,911, ratio 0.457. Code-line count was not supplied and was dropped. Re-read from results.json before submission.</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Commit and run date</w:t>
            </w:r>
          </w:p>
        </w:tc>
        <w:tc>
          <w:tcPr>
            <w:tcW w:type="dxa" w:w="8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Original run at 11b9495, regenerated inventory at 0b93173; the authors must pick one commit and state the latency run date (red).</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Reference [5]</w:t>
            </w:r>
          </w:p>
        </w:tc>
        <w:tc>
          <w:tcPr>
            <w:tcW w:type="dxa" w:w="8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Cited but absent from the manuscript list; added from the Lo et al. PDF. Page range and DOI conflict across project files (red).</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Reference [2]</w:t>
            </w:r>
          </w:p>
        </w:tc>
        <w:tc>
          <w:tcPr>
            <w:tcW w:type="dxa" w:w="8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Manuscript 2022, pp. 705–713 versus Crossref 2021, pp. 691–699. Needs the publisher record (red).</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Reference [1]</w:t>
            </w:r>
          </w:p>
        </w:tc>
        <w:tc>
          <w:tcPr>
            <w:tcW w:type="dxa" w:w="8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Not independently located; supports a load-bearing introduction claim (red).</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Figures</w:t>
            </w:r>
          </w:p>
        </w:tc>
        <w:tc>
          <w:tcPr>
            <w:tcW w:type="dxa" w:w="8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Omitted for length. The original Fig. 8 and Fig. 9 had caption/image mismatches, and the integrity-scenarios chart has a legend overlapping two labels (regenerate before re-adding).</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Latency values</w:t>
            </w:r>
          </w:p>
        </w:tc>
        <w:tc>
          <w:tcPr>
            <w:tcW w:type="dxa" w:w="8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Earlier guide values (scrypt 118.31 ms) differ from the manuscript (119.35 ms); manuscript values kept as a different run.</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"Locally deployable"</w:t>
            </w:r>
          </w:p>
        </w:tc>
        <w:tc>
          <w:tcPr>
            <w:tcW w:type="dxa" w:w="8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Default provider is hosted Gemini and no local inference was run; the paper states both.</w:t>
            </w:r>
          </w:p>
        </w:tc>
      </w:tr>
    </w:tbl>
    <w:p>
      <w:pPr>
        <w:pStyle w:val="Heading1"/>
        <w:spacing w:after="100" w:before="240"/>
      </w:pPr>
      <w:r>
        <w:rPr>
          <w:rFonts w:ascii="Times New Roman" w:cs="Times New Roman" w:eastAsia="Times New Roman" w:hAnsi="Times New Roman"/>
          <w:b/>
          <w:bCs/>
          <w:sz w:val="26"/>
          <w:szCs w:val="26"/>
        </w:rPr>
        <w:t xml:space="preserve">3. Checklist of red-highlighted items</w:t>
      </w:r>
    </w:p>
    <w:p>
      <w:pPr>
        <w:spacing w:after="100"/>
        <w:jc w:val="left"/>
      </w:pPr>
      <w:r>
        <w:rPr>
          <w:rFonts w:ascii="Times New Roman" w:cs="Times New Roman" w:eastAsia="Times New Roman" w:hAnsi="Times New Roman"/>
          <w:sz w:val="20"/>
          <w:szCs w:val="20"/>
        </w:rPr>
        <w:t xml:space="preserve">Every red placeholder in the paper is listed below with its location. Remove the red formatting only after the authors have supplied or verified the item.</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700"/>
        <w:gridCol w:w="6100"/>
      </w:tblGrid>
      <w:tr>
        <w:trPr>
          <w:tblHeader/>
        </w:trPr>
        <w:tc>
          <w:tcPr>
            <w:tcW w:type="dxa" w:w="5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w:t>
            </w:r>
          </w:p>
        </w:tc>
        <w:tc>
          <w:tcPr>
            <w:tcW w:type="dxa" w:w="25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Location</w:t>
            </w:r>
          </w:p>
        </w:tc>
        <w:tc>
          <w:tcPr>
            <w:tcW w:type="dxa" w:w="17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Type</w:t>
            </w:r>
          </w:p>
        </w:tc>
        <w:tc>
          <w:tcPr>
            <w:tcW w:type="dxa" w:w="61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What is incomplete / what is needed</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Front matter</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AUTHOR INPUT REQUIRED</w:t>
            </w:r>
          </w:p>
        </w:tc>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department, institution, city, country  (appears 4 times)</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2</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Front matter</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AUTHOR INPUT REQUIRED</w:t>
            </w:r>
          </w:p>
        </w:tc>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e-mail address  (appears 4 times)</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3</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Sec. II Related Work</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LITERATURE REQUIRED</w:t>
            </w:r>
          </w:p>
        </w:tc>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add and cite related work on automated/video interviewing, LLM interview assessment, remote proctoring, LLM-as-judge validity and human agreement, and the original references for NDCG, Kendall's tau-b, BM25 and TF-IDF.</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Sec. III System Architecture and Proposed Framework</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CITATION REQUIRED</w:t>
            </w:r>
          </w:p>
        </w:tc>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faster-whisper</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5</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Sec. III System Architecture and Proposed Framework</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CITATION REQUIRED</w:t>
            </w:r>
          </w:p>
        </w:tc>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YuNet</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6</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Sec. III System Architecture and Proposed Framework</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CITATION REQUIRED</w:t>
            </w:r>
          </w:p>
        </w:tc>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SFace</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7</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Sec. III System Architecture and Proposed Framework</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CITATION REQUIRED</w:t>
            </w:r>
          </w:p>
        </w:tc>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MediaPipe</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8</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Sec. III System Architecture and Proposed Framework</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CITATION REQUIRED</w:t>
            </w:r>
          </w:p>
        </w:tc>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YOLO11n/ultralytics</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9</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Sec. III System Architecture and Proposed Framework</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CITATION REQUIRED</w:t>
            </w:r>
          </w:p>
        </w:tc>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scrypt</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10</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Sec. VI Experimental Setup and Evaluation Metrics</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AUTHOR INPUT REQUIRED</w:t>
            </w:r>
          </w:p>
        </w:tc>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commercial CPU model name and installed RAM</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11</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Sec. VI Experimental Setup and Evaluation Metrics</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VERIFICATION REQUIRED</w:t>
            </w:r>
          </w:p>
        </w:tc>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choose one commit hash to cite for all results (the original run used 11b9495), state the date of the latency run, and re-read every table value, latency figure, and artefact count from the regenerated results.json before submission</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12</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Sec. VI Experimental Setup and Evaluation Metrics</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AUTHOR INPUT REQUIRED</w:t>
            </w:r>
          </w:p>
        </w:tc>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repository URL</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13</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Sec. VI Experimental Setup and Evaluation Metrics</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VERIFICATION REQUIRED</w:t>
            </w:r>
          </w:p>
        </w:tc>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map these widths to precision and MRR, resume-only and fused</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14</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Sec. VII-C Latency, Egress, and Provider Contract</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AUTHOR INPUT REQUIRED</w:t>
            </w:r>
          </w:p>
        </w:tc>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date of the live provider-contract run</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15</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Sec. VIII Limitations and Threats to Validity</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CITATION REQUIRED</w:t>
            </w:r>
          </w:p>
        </w:tc>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GDPR processor provisions and the EU AI Act high-risk employment category</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16</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Acknowledgment</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AUTHOR INPUT REQUIRED</w:t>
            </w:r>
          </w:p>
        </w:tc>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acknowledgments and the AI-assistance disclosure statement required by the target venue</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17</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References</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VERIFICATION REQUIRED</w:t>
            </w:r>
          </w:p>
        </w:tc>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no independent record of this paper could be found; confirm volume, issue, pages, and authors from the publisher, or replace it, since it supports a load-bearing claim in Section I</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18</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References</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VERIFICATION REQUIRED</w:t>
            </w:r>
          </w:p>
        </w:tc>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the project's revision guide reports year 2021 and pages 691–699 for this DOI; the manuscript gives 2022 and 705–713. Confirm against the publisher record</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19</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References</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VERIFICATION REQUIRED</w:t>
            </w:r>
          </w:p>
        </w:tc>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page range and DOI. Three page ranges appear in the project files (4184–4193; 4223–4232; 4193–4202 in the supplied PDF), and the DOI 10.1109/cvprw67362.2025.00402 appears only in the revision guide. Entry [5] was also missing from the reference list of the manuscript</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20</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References</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AUTHOR INPUT REQUIRED</w:t>
            </w:r>
          </w:p>
        </w:tc>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complete author list, arXiv identifier or venue, and DOI/URL</w:t>
            </w:r>
          </w:p>
        </w:tc>
      </w:tr>
    </w:tbl>
    <w:p>
      <w:pPr>
        <w:pStyle w:val="Heading1"/>
        <w:spacing w:after="100" w:before="240"/>
      </w:pPr>
      <w:r>
        <w:rPr>
          <w:rFonts w:ascii="Times New Roman" w:cs="Times New Roman" w:eastAsia="Times New Roman" w:hAnsi="Times New Roman"/>
          <w:b/>
          <w:bCs/>
          <w:sz w:val="26"/>
          <w:szCs w:val="26"/>
        </w:rPr>
        <w:t xml:space="preserve">4. Notes</w:t>
      </w:r>
    </w:p>
    <w:p>
      <w:pPr>
        <w:pStyle w:val="ListParagraph"/>
        <w:numPr>
          <w:ilvl w:val="0"/>
          <w:numId w:val="2"/>
        </w:numPr>
        <w:spacing w:after="60"/>
      </w:pPr>
      <w:r>
        <w:rPr>
          <w:rFonts w:ascii="Times New Roman" w:cs="Times New Roman" w:eastAsia="Times New Roman" w:hAnsi="Times New Roman"/>
          <w:sz w:val="21"/>
          <w:szCs w:val="21"/>
        </w:rPr>
        <w:t xml:space="preserve">No target-conference template was supplied. The layout is a standard IEEE two-column US-Letter format (10 pt body, 3.5 in columns) and must be validated against the official template of the intended venue. Two figures are wider than one column and are set in single-column bands between two-column sections. Figures omitted for length (pipeline, screening and interview flow charts, baselines, integrity scenarios, guardrail families, latency) remain available in the project and can be re-added; note the manuscript's Fig. 8 and Fig. 9 had caption/image mismatches, and the integrity-scenarios chart has a legend overlapping two labels.</w:t>
      </w:r>
    </w:p>
    <w:p>
      <w:pPr>
        <w:pStyle w:val="ListParagraph"/>
        <w:numPr>
          <w:ilvl w:val="0"/>
          <w:numId w:val="2"/>
        </w:numPr>
        <w:spacing w:after="60"/>
      </w:pPr>
      <w:r>
        <w:rPr>
          <w:rFonts w:ascii="Times New Roman" w:cs="Times New Roman" w:eastAsia="Times New Roman" w:hAnsi="Times New Roman"/>
          <w:sz w:val="21"/>
          <w:szCs w:val="21"/>
        </w:rPr>
        <w:t xml:space="preserve">Reference details for [8]–[11] were taken from the manuscript as supplied and were not independently re-checked here. No bibliographic detail was invented.</w:t>
      </w:r>
    </w:p>
    <w:p>
      <w:pPr>
        <w:pStyle w:val="ListParagraph"/>
        <w:numPr>
          <w:ilvl w:val="0"/>
          <w:numId w:val="2"/>
        </w:numPr>
        <w:spacing w:after="60"/>
      </w:pPr>
      <w:r>
        <w:rPr>
          <w:rFonts w:ascii="Times New Roman" w:cs="Times New Roman" w:eastAsia="Times New Roman" w:hAnsi="Times New Roman"/>
          <w:sz w:val="21"/>
          <w:szCs w:val="21"/>
        </w:rPr>
        <w:t xml:space="preserve">The two further inconsistencies worth a quick decision are the target venue's AI-disclosure wording and whether to state the release licence of the code (the AGPL-3.0 ultralytics dependency is already mentioned).</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2026-10-11T17:50:32.106Z</dcterms:created>
  <dcterms:modified xsi:type="dcterms:W3CDTF">2026-10-11T17:50:32.106Z</dcterms:modified>
</cp:coreProperties>
</file>

<file path=docProps/custom.xml><?xml version="1.0" encoding="utf-8"?>
<Properties xmlns="http://schemas.openxmlformats.org/officeDocument/2006/custom-properties" xmlns:vt="http://schemas.openxmlformats.org/officeDocument/2006/docPropsVTypes"/>
</file>