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02F72">
      <w:pPr>
        <w:pStyle w:val="2"/>
        <w:bidi w:val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Cs w:val="17"/>
          <w:bdr w:val="none" w:color="auto" w:sz="0" w:space="0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Cs w:val="17"/>
          <w:bdr w:val="none" w:color="auto" w:sz="0" w:space="0"/>
          <w:shd w:val="clear" w:fill="FFFFFF"/>
        </w:rPr>
        <w:br w:type="textWrapping"/>
      </w:r>
      <w:r>
        <w:rPr>
          <w:rFonts w:hint="eastAsia"/>
        </w:rPr>
        <w:t>如何构建稳健的商品期货carry组合</w:t>
      </w:r>
    </w:p>
    <w:p w14:paraId="5C24AB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30"/>
          <w:szCs w:val="3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30"/>
          <w:szCs w:val="30"/>
          <w:bdr w:val="none" w:color="auto" w:sz="0" w:space="0"/>
          <w:shd w:val="clear" w:fill="FFFFFF"/>
        </w:rPr>
        <w:t>【摘要】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本文在已有研究和经验的基础上，介绍了商品Carry策略的基本原理，并对该策略进行了全方位的回溯。本文设计的的carry策略测试效果较好，结果稳健，并与其它策略相关性较低，可以为多元化组合提供新的收益来源。</w:t>
      </w:r>
    </w:p>
    <w:p w14:paraId="4CB79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1.前言</w:t>
      </w:r>
    </w:p>
    <w:p w14:paraId="2656D3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无论是学术上，还是实践中，carry策略（期限结构策略）都有很多讨论。</w:t>
      </w:r>
    </w:p>
    <w:p w14:paraId="2E8091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早在2006年，Erb和Harvey在讨论商品期货的战略和战术价值时，就介绍期限结构多空组合。通过构造一个简单的期限结构组合，即做多展期收益最高的6个品种，做空展期收益最低的6个品种，能实现高于商品指数的收益和夏普。</w:t>
      </w:r>
    </w:p>
    <w:p w14:paraId="235348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Fabozzi、Fuss和Kaiser(2008)在讨论商品alpha的来源的时候，提出商品买卖的基本规则：买多backward的商品，卖空contango的商品。</w:t>
      </w:r>
    </w:p>
    <w:p w14:paraId="033E9F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Koijen、Moskowitz、Pedersen和Vrugt(2013)提出carry策略无处不在，他们详细研究了carry策略在股票、货币、债券和商品中的应用。在商品方面，介绍了商品carry收益的理论推导和实际估计方法，并研究了两个策略：1）每月末rebalance，买多carry收益靠前的N%的商品，卖空carry收益靠后的后N%的商品；2）将carry作为一个择时指标，当carry大于0时买多，当carry小于0时卖空。结果发现，carry策略历史上能带来显著的收益。</w:t>
      </w:r>
    </w:p>
    <w:p w14:paraId="6237AA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Fuertes、Miffre和 Fernandez-Perez(2014)通过多因子回归的方式，利用动量、期限结构和特质波动率解释并预测商品的收益率，并构建投资组合，结果表明期限结构是一类十分有效的因子。</w:t>
      </w:r>
    </w:p>
    <w:p w14:paraId="22431B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Campbell(2014)详细分解了期货投资的收益，并推导了carry策略的逻辑基础，最后得出结论，在商品现货长期波动很小的假设下，期货投资收益主要由carry收益决定。</w:t>
      </w:r>
    </w:p>
    <w:p w14:paraId="6D27D36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Till(2015)讨论了CTAs收益的来源，其中一个重要的因素来自carry，并介绍了几个carry策略的例子。</w:t>
      </w:r>
    </w:p>
    <w:p w14:paraId="7950EE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南华期货也在编制南华对冲策略指数时，也考虑了商品的期限结构，对于多头且contango的商品延迟展期，多头且backward的商品提前展期，空头则相反。</w:t>
      </w:r>
    </w:p>
    <w:p w14:paraId="22F066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目前国内一些卖方机构也做了相关的研究，大多研究可能存在以下问题。首先，由于国内商品主力合约换月规律并不稳定，在定义展期收益率时如果用主力合约和次主力合约数据，因子值不稳定，容易跳空，换手率也较大，对成本会比较敏感。其次，在构建组合时简单地将期限结构因子进行排序，多头和空头分别持有两端的N%，而没有考虑期限结构实际数值符号和大小。最后，在估计交易成本时过于乐观，普遍设置在万三甚至更低，几乎忽略了冲击成本的影响。</w:t>
      </w:r>
    </w:p>
    <w:p w14:paraId="17A348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本文将在已有研究的基础上进行改进，试图构建稳健的carry组合。接下来的内容由以下部分组成，第二部分介绍carry策略背后的逻辑和原理，第三部分说明需要的数据及来源，第四部分讨论几种常见的期限结构因子，第五部分设计了一个完整的横截面carry组合，第六部分进行稳健性测试，第七部分研究carry在时间序列上的应用，第八部分对比和其他资产策略的关系，第九部分总结。</w:t>
      </w:r>
    </w:p>
    <w:p w14:paraId="1E42E6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2.策略原理</w:t>
      </w:r>
    </w:p>
    <w:p w14:paraId="4AF4E6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0"/>
          <w:szCs w:val="30"/>
          <w:bdr w:val="none" w:color="auto" w:sz="0" w:space="0"/>
          <w:shd w:val="clear" w:fill="FFFFFF"/>
        </w:rPr>
        <w:t>理论上，持有某一类资产，需要承担一定成本，同时享受该资产带来的收益，持有收益超过持有成本的部分，即为carry收益（carry yield）。常见资产的持有收益和成本见表1。</w:t>
      </w:r>
    </w:p>
    <w:p w14:paraId="50734B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14"/>
          <w:szCs w:val="14"/>
          <w:bdr w:val="none" w:color="auto" w:sz="0" w:space="0"/>
          <w:shd w:val="clear" w:fill="FFFFFF"/>
        </w:rPr>
        <w:t>表1 不同资产持有收益和成本</w:t>
      </w:r>
    </w:p>
    <w:tbl>
      <w:tblPr>
        <w:tblW w:w="6770" w:type="dxa"/>
        <w:jc w:val="center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3"/>
        <w:gridCol w:w="2848"/>
        <w:gridCol w:w="3039"/>
      </w:tblGrid>
      <w:tr w14:paraId="6D25CDDB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7F7F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FC47D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资产类别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7F7F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13202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收益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7F7F7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3F800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成本</w:t>
            </w:r>
          </w:p>
        </w:tc>
      </w:tr>
      <w:tr w14:paraId="712E6D42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9D646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债券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582CB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current yield(coupon)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F0FC9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financing rate</w:t>
            </w:r>
          </w:p>
        </w:tc>
      </w:tr>
      <w:tr w14:paraId="674BFFA0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AE22A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货币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12375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foreign deposit rate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140D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local deposit rate</w:t>
            </w:r>
          </w:p>
        </w:tc>
      </w:tr>
      <w:tr w14:paraId="63589931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63E50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股票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7861D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divident yield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2B35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financing rate</w:t>
            </w:r>
          </w:p>
        </w:tc>
      </w:tr>
      <w:tr w14:paraId="06821F9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E64FE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波动率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9D9D1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hedging against increases in volatility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F0F6D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insurance premium</w:t>
            </w:r>
          </w:p>
        </w:tc>
      </w:tr>
      <w:tr w14:paraId="40E1BC8D"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0E76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大宗商品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2B2E3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convenience yield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1DBB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storage;transport;insurance;financing rate</w:t>
            </w:r>
          </w:p>
        </w:tc>
      </w:tr>
    </w:tbl>
    <w:p w14:paraId="390125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 w14:paraId="4DD4D7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对于持有商品来说，会有便利收益（convenience yield）。便利收益是一个理论上的收益，实际中无法观测，当存货很低或商品短缺时，便利收益会更大。在持有商品时，存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储、运输和保险等都会产生成本。当便利收益超过持有成本时，持有商品变得有利可图；当便利收益小于持有成本时，持有商品变得很不划算。</w:t>
      </w:r>
    </w:p>
    <w:p w14:paraId="1EDA5F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因此，买入carry收益为正的商品，卖出carry收益为负的商品，理论上会是一个不错的策略。那么如何计算carry收益呢？</w:t>
      </w:r>
    </w:p>
    <w:p w14:paraId="7141FE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最简单最直接的方式是获取商品的便利收益和存储等成本，相减即可得到。然而，便利收益是一个理论收益，实际中很难观测，没有确切的数据；另外，存储、交通和保险虽然可以获取，但存在数据质量和数据完整度问题，而且不同地区的数据难以统一；最后，持有实物商品流动性差，管理难度较大。以上困难促使我们不得不寻找其他计算方式。</w:t>
      </w:r>
    </w:p>
    <w:p w14:paraId="79A99B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对于资产管理，商品配置一般不投资于实物商品，业内流行的方式是通过商品期货，然后滚动移仓，达到配置商品的目的。理论上，投资商品期货的收益可以分解成：</w:t>
      </w:r>
    </w:p>
    <w:p w14:paraId="4BFBA0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32"/>
          <w:szCs w:val="32"/>
        </w:rPr>
      </w:pPr>
      <w:r>
        <w:rPr>
          <w:rFonts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F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uturesreturn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=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Spotreturn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Rollreturn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+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Collateralreturn</w:t>
      </w:r>
    </w:p>
    <w:p w14:paraId="31B1A6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即期货投资收益由3部分构成：对应现货的收益、展期收益和现金收益[1]。</w:t>
      </w:r>
    </w:p>
    <w:p w14:paraId="04EC0A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这里roll收益和carry收益相对应。如果不考虑现金收益，当roll yield为负，下一个合约[2]价格高于当前合约，持有期货收益将低于持有现货收益，carry收益为负（benefits&lt;costs），此时商品处于contango形态；相反，当roll yield为正，下一个合约价格低于当前合约，持有期货收益将高于持有现货收益，carry收益为正（benefits&gt;costs），此时商品处于backward形态。如果现货价格波动较小，且roll yield具有一定持续性[3]，那么买入处于backward的商品，卖出处于contango的商品，将在理论上获利。</w:t>
      </w:r>
    </w:p>
    <w:p w14:paraId="54F395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另外，也可以从存储理论（Theory of Storage）的角度理解carry策略。Gorton、Hayashi和Rouwenhorst(2007)发现，便利收益和存货存在非线性的负相关关系。当库存降低时，商品短缺（便利收益大），现货价格高于期货价格（backwardation），现货（及期货）价格倾向于持续上涨；当库存上升时，商品充裕（便利收益低），现货价格低于期货价格（contango），现货（及期货）价格价格有下跌趋势。库存是供需平衡的蓄水池，carry策略和库存的关系说明它并不是一个纯粹的量价模型，而是具有深刻的基本面基础。</w:t>
      </w:r>
    </w:p>
    <w:p w14:paraId="4E9782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3.数据</w:t>
      </w:r>
    </w:p>
    <w:p w14:paraId="2E187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3.1合约数据</w:t>
      </w:r>
    </w:p>
    <w:p w14:paraId="06ADDA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在计算期限结构指标时，需要用到合约数据，合约数据来自wind。需要重点说明的是，由于合约设计上的不合理，部分商品修改过合约细则，并更改了商品代码，这些品种包括WS、ER、ME、TC和RO，修改后的代码分别为WH、RI、MA、ZC和OI。本质上，这种修改并不影响商品的价格，商品还是那个商品，价格还是原来那个商品的价格，具有连续性。因此，我们将合约修改前后的数据进行了向后统一，例如RO即为OI，RO203即为OI203。</w:t>
      </w:r>
    </w:p>
    <w:p w14:paraId="3D5149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3.2商品收益率指数</w:t>
      </w:r>
    </w:p>
    <w:p w14:paraId="0B7953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在做期货的研究时，常常使用主力合约指数和合约加权指数，这些指数构造起来比较简便，理解起来也不复杂，但并不能反映期货交易的真实收益。作为替代，一个有效的方案是收益率指数。</w:t>
      </w:r>
    </w:p>
    <w:p w14:paraId="70EFEB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商品收益率指数模拟了换月时的真实过程，能最大程度体现期货投资者的真实收益。目前国内南华商品指数质量高应用广，本文使用的收益率指数来自刀疤连和桂琪琪(2018)的方案，总体上和南华相似。</w:t>
      </w:r>
    </w:p>
    <w:p w14:paraId="43042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4.期限结构因子</w:t>
      </w:r>
    </w:p>
    <w:p w14:paraId="414606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商品的期限结构是市场参与者对不同合约的价格预期，反映了经济周期、商品供求、市场情绪等诸多信息。如果远期合约价格高于近期合约价格，商品价格曲线向右上方倾斜，此时市场处于远期价格升水状态（contango），如图1左。如果远期合约价格低于近期合约价格，商品价格曲线向右下方倾斜，此时市场处于远期价格贴水状态（backward），如图1右。</w:t>
      </w:r>
    </w:p>
    <w:p w14:paraId="4E2609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5270500" cy="1890395"/>
            <wp:effectExtent l="0" t="0" r="0" b="1905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0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图1 两个品种的期限结构示例</w:t>
      </w:r>
    </w:p>
    <w:p w14:paraId="47B207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32"/>
          <w:szCs w:val="32"/>
        </w:rPr>
      </w:pPr>
    </w:p>
    <w:p w14:paraId="7A9D06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通过定义一个期限结构因子，可以很好地刻画商品的期限结构。一个好的期限结构因子应该具有如下特征：1）直观性；2）稳定性；3）易得性。目前主要有3类计算方法：展期收益率、斜率法和主成分法。</w:t>
      </w:r>
    </w:p>
    <w:p w14:paraId="11A0BF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4.1展期收益率（roll yield）</w:t>
      </w:r>
    </w:p>
    <w:p w14:paraId="140668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商品的carry收益反映了持有商品现货的净收益（即便利收益减去储蓄、运输和保险等成本）。当carry yield&lt;0时，持有商品收益小于成本，商品曲线呈contango形态；当carry yield&gt;0时，持有商品收益高于成本，商品呈backward形态。因为持有商品的收益和成本无法轻易获得，因此可以通过期货和现货数据近似计算，即：</w:t>
      </w:r>
    </w:p>
    <w:p w14:paraId="299631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32"/>
          <w:szCs w:val="32"/>
        </w:rPr>
      </w:pP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)=(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)−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))/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)</w:t>
      </w:r>
    </w:p>
    <w:p w14:paraId="41F215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其中，S(t)为现货价格，F(t)为期货价格（一般为主力）。上式又被成为展期收益（roll yield）。由于无法获取及时、准确和完整的现货数据，上式也无法计算。作为替代，可以使用两个期货合约价近似计算，计算方法为：</w:t>
      </w:r>
    </w:p>
    <w:p w14:paraId="507106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32"/>
          <w:szCs w:val="32"/>
        </w:rPr>
      </w:pP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)=(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1)−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2))/(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F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2)(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2−</w:t>
      </w:r>
      <w:r>
        <w:rPr>
          <w:rFonts w:hint="default" w:ascii="KaTeX_Math" w:hAnsi="KaTeX_Math" w:eastAsia="KaTeX_Math" w:cs="KaTeX_Math"/>
          <w:i/>
          <w:iCs/>
          <w:caps w:val="0"/>
          <w:spacing w:val="5"/>
          <w:sz w:val="32"/>
          <w:szCs w:val="32"/>
          <w:bdr w:val="none" w:color="auto" w:sz="0" w:space="0"/>
          <w:shd w:val="clear" w:fill="FFFFFF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5"/>
          <w:sz w:val="32"/>
          <w:szCs w:val="32"/>
          <w:bdr w:val="none" w:color="auto" w:sz="0" w:space="0"/>
          <w:shd w:val="clear" w:fill="FFFFFF"/>
        </w:rPr>
        <w:t>1))</w:t>
      </w:r>
    </w:p>
    <w:p w14:paraId="530255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其中，F(t1)为近月合约，还有t1个月到期；F(t2)为远月合约，还有t2个月到期。</w:t>
      </w:r>
    </w:p>
    <w:p w14:paraId="311D69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在实际计算时，F(t1)为主力，F(t2)为次主力；或者F(t1)为最近合约，F(t2)为主力。</w:t>
      </w:r>
    </w:p>
    <w:p w14:paraId="5E6914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目前学术上一般用该方法衡量商品的期限结构。国内大多数商品期货换月规律并不确切，导致展期收益率会有不同程度的跳空，使得数值不连续和不稳定。</w:t>
      </w:r>
    </w:p>
    <w:p w14:paraId="74C69E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4.2曲线斜率（the slope of term structure curve)</w:t>
      </w:r>
    </w:p>
    <w:p w14:paraId="178904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事实上，商品期限曲线并非完全的单调递增或单调递减，很多时候会呈现扭曲的结构（如图2）。在计算展期收益率时，只使用了曲线上的两个合约，这两个点的连线不能完全反映整条曲线的信息。为了弥补这个缺陷，可以使用期限曲线的斜率(slope)来描述其形态。</w:t>
      </w:r>
    </w:p>
    <w:p w14:paraId="5D861E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5274310" cy="3467100"/>
            <wp:effectExtent l="0" t="0" r="8890" b="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BF6D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图2 橡胶期货扭曲的期限结构</w:t>
      </w:r>
    </w:p>
    <w:p w14:paraId="3AFC1A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32"/>
          <w:szCs w:val="32"/>
        </w:rPr>
      </w:pPr>
    </w:p>
    <w:p w14:paraId="10C238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期限曲线斜率的含义很直观，其符号代表倾斜方向。如果斜率大于0，则表示曲线向右上方倾斜，呈contango形态；如果小于0，则表示曲线向右下方倾斜，呈backward形态。其数值绝对额代表上倾或下倾的程度，如果绝对值很大，说明远期升水或贴水较深；如果绝对值较小，说明曲线平坦。</w:t>
      </w:r>
    </w:p>
    <w:p w14:paraId="26625A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4.3主成分法（PCA）</w:t>
      </w:r>
    </w:p>
    <w:p w14:paraId="09FDFD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和利率的期限结构一样，可以将商品期货的期限结构进行主成分分解。Barra(2011)在设计其商品多因子模型时，采用的便是这个方法。</w:t>
      </w:r>
    </w:p>
    <w:p w14:paraId="105404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一般来说，商品期货的期限结构可以由三个主成分解释，分别为shift、twist和butterfly，每一个因子都有特殊的含义。在这些主成分上进一步开发，便能得到趋势跟踪因子和期限结构因子。</w:t>
      </w:r>
    </w:p>
    <w:p w14:paraId="5B171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5.多空对冲组合</w:t>
      </w:r>
    </w:p>
    <w:p w14:paraId="135C87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接下来，计算每个商品在每个交易日的期限结构因子(ts)，构造多空对冲组合并回溯其表现。在展示该模型（TS组合）结果之前，先介绍具体参数设置和构建细节，包括测试区间、因子计算、投资范围、组合构建、调仓频率和成本估计。</w:t>
      </w:r>
    </w:p>
    <w:p w14:paraId="3BD689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5.1测试区间</w:t>
      </w:r>
    </w:p>
    <w:p w14:paraId="0CF6EC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为了保证可选商品池较大，起始日期为2010-01-04，结束日期2018-09-21。</w:t>
      </w:r>
    </w:p>
    <w:p w14:paraId="39C8DC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5.2因子计算</w:t>
      </w:r>
    </w:p>
    <w:p w14:paraId="37F9F7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在每个交易日，计算每个商品的期限结构因子ts。ts为正，该商品远月升水；ts为负，该商品远月贴水；ts绝对值越大，期限结构曲线越陡峭。总体来说，期限结构因子呈左偏尖峰，自相关性较强。关于该因子属性的详细讨论，见附录1。</w:t>
      </w:r>
    </w:p>
    <w:p w14:paraId="68AF64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5.3商品池</w:t>
      </w:r>
    </w:p>
    <w:p w14:paraId="0B9649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投资范围采用动态商品池，即动态考虑商品的流动性，从而选择是否纳入池子。关于商品池的进一步讨论，见附录2。</w:t>
      </w:r>
    </w:p>
    <w:p w14:paraId="6DBC9E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5.4组合构建</w:t>
      </w:r>
    </w:p>
    <w:p w14:paraId="1B94C9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在交易日t，通过如下方式构建多头组合和空头组合：</w:t>
      </w:r>
    </w:p>
    <w:p w14:paraId="494292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1）提取商品池内所有商品的ts因子，将因子大于0的商品归为contango组，将因子小于0的商品归为backward组；</w:t>
      </w:r>
    </w:p>
    <w:p w14:paraId="4713EE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2）在contango组，选择因子大于50分位数的商品，进入卖空名单short list；在backward组，选择因子小于50分位数的商品，进入买多名单long list；</w:t>
      </w:r>
    </w:p>
    <w:p w14:paraId="45EB89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3)所有商品等权重，即权重等于1/[len(short list) + len(long list)]。</w:t>
      </w:r>
    </w:p>
    <w:p w14:paraId="038AF9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5.5成本设置</w:t>
      </w:r>
    </w:p>
    <w:p w14:paraId="42C505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成本主要来自交易费用和冲击成本。根据经验，交易费用一般在万2以内；冲击成本设置为两个滑点，平均为万20。因此，单边总成本设置为单边千2.5。</w:t>
      </w:r>
    </w:p>
    <w:p w14:paraId="0665B0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5.6rebalance</w:t>
      </w:r>
    </w:p>
    <w:p w14:paraId="572BC3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调仓频率为一个月，每月最后一个交易日进行换仓操作。</w:t>
      </w:r>
    </w:p>
    <w:p w14:paraId="1AA8D4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5.7结果展示</w:t>
      </w:r>
    </w:p>
    <w:p w14:paraId="2EB9A1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回溯TS组合，历史累计净值及其风险收益指标见图3。可以看到，该组合近8年表现非常优秀，年华收益11.52%，夏普高达1.53[4]；风险方面，最大回撤8.19%，年华波动7.28%，属于中等风险水平；另外，该组合并非每年稳定盈利，具有一定的周期性。</w:t>
      </w:r>
    </w:p>
    <w:p w14:paraId="0C23CB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5269865" cy="2232660"/>
            <wp:effectExtent l="0" t="0" r="635" b="254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6689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图3 期限结构多空组合</w:t>
      </w:r>
    </w:p>
    <w:p w14:paraId="5534A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6.稳健性测试</w:t>
      </w:r>
    </w:p>
    <w:p w14:paraId="7BB3FA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上面介绍的TS模型涉及到一些参数，这一部分对这些参数进行稳健性检验，包括商品池的选择、商品持仓数量、组合权重、调仓频率、建仓起点和交易成本等。</w:t>
      </w:r>
    </w:p>
    <w:p w14:paraId="612B99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6.1商品池</w:t>
      </w:r>
    </w:p>
    <w:p w14:paraId="5E69D7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附录2讨论了两种常见的商品池，当从固定商品池进行选择时，结果见图4。可以看到，固定商品池的和动态商品池没什么两样，两种方式都能获得相似的结果。</w:t>
      </w:r>
    </w:p>
    <w:p w14:paraId="6C1577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5269865" cy="2232660"/>
            <wp:effectExtent l="0" t="0" r="635" b="254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B321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图4 固定商品池多空组合</w:t>
      </w:r>
    </w:p>
    <w:p w14:paraId="5177B0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6.2分位数选择</w:t>
      </w:r>
    </w:p>
    <w:p w14:paraId="046617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在组合构建时，选择因子大于q分位数的contango商品进入short列表，选择小于100-q分位数的backward商品进入long列表。q取不同值的测试结果见表2。</w:t>
      </w:r>
    </w:p>
    <w:p w14:paraId="4BED05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当q等于0时，空头持有所有处于contango状态的商品，多头持有所有处于backward的商品；随着q的变大，组合持仓商品数量开始变少，年化收益开始增加，同时波动也加大；当q很大时，过少的持仓导致组合波动较大，收益和夏普同时降低。总体来说，结果对组合持仓大小并不敏感。</w:t>
      </w:r>
    </w:p>
    <w:p w14:paraId="6E6109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表2 不同分位数（组合大小）多空组合</w:t>
      </w:r>
    </w:p>
    <w:p w14:paraId="26563C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600450" cy="2305050"/>
            <wp:effectExtent l="0" t="0" r="6350" b="635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B9D0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6.3商品权重</w:t>
      </w:r>
    </w:p>
    <w:p w14:paraId="667A3C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在没有更好更多的信息时，等权重是一个较优秀选择。另外，也可以用因子值进行加权，即期限曲线越倾斜，相应的权重应该越大；曲线越平坦，权重越小。因子加权测试结果见图5。从图5可以看出，因子绝对值加权并没有变差，但也没有明显改善。</w:t>
      </w:r>
    </w:p>
    <w:p w14:paraId="5B4BF7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5271135" cy="2214880"/>
            <wp:effectExtent l="0" t="0" r="12065" b="7620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4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42F8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图5 因子值加权组合</w:t>
      </w:r>
    </w:p>
    <w:p w14:paraId="155ABE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6.4 21个交易日=一月</w:t>
      </w:r>
    </w:p>
    <w:p w14:paraId="66E4F9F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在定义一个月时，既可以用自然月（每年12个自然月），也可用固定交易天数作为一个月（如21天）。固定21个交易日rebalance的结果见图6。结果显示，无论用哪种方式，区别不大。</w:t>
      </w:r>
    </w:p>
    <w:p w14:paraId="36D0B5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5269865" cy="2232660"/>
            <wp:effectExtent l="0" t="0" r="635" b="254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5045F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图6 定义21个交易日为1个月</w:t>
      </w:r>
    </w:p>
    <w:p w14:paraId="419EF4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6.5 换仓日的不同</w:t>
      </w:r>
    </w:p>
    <w:p w14:paraId="2556FD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原始模型在每月最后一个交易日进行rebalance，这也是绝大多数研究约定俗成的日期。表3检验了不同换仓日的测试结果，其中“天数”指距离每月最后一个交易日的天数。例如天数为0时换仓日即为每月最后一个交易日，天数为2时换仓日则当月倒数第三个交易日。从表3的结果可以看出，多空组合并不受换仓日的影响。</w:t>
      </w:r>
    </w:p>
    <w:p w14:paraId="4E08AC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表3 每月月末（调仓日）的定义</w:t>
      </w:r>
    </w:p>
    <w:p w14:paraId="2581D4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514725" cy="2038350"/>
            <wp:effectExtent l="0" t="0" r="3175" b="6350"/>
            <wp:docPr id="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B336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6.6 调仓频率</w:t>
      </w:r>
    </w:p>
    <w:p w14:paraId="076D56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无论是自然月还是21个交易日，调仓频率都为1个月。表4统计了不同调仓频率下的组合结果。可以看到，调仓频率太小或者太大，都会导致年化收益降低，但总体上此参数对结果没有实质影响。</w:t>
      </w:r>
    </w:p>
    <w:p w14:paraId="4A21C8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表4 调仓频率</w:t>
      </w:r>
    </w:p>
    <w:p w14:paraId="7EED08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819525" cy="3571875"/>
            <wp:effectExtent l="0" t="0" r="3175" b="9525"/>
            <wp:docPr id="10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ED95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0" w:afterAutospacing="0" w:line="13" w:lineRule="atLeast"/>
        <w:ind w:left="0" w:right="0" w:firstLine="0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6.7交易成本</w:t>
      </w:r>
    </w:p>
    <w:p w14:paraId="64E1F6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将交易成本按0.5‰的步长从0加到5‰（单边），测试结果见表5。由于因子换手率并不高，交易成本的增加并不不会导致结果的急剧恶化。</w:t>
      </w:r>
    </w:p>
    <w:p w14:paraId="375D89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表5 不同的交易成本</w:t>
      </w:r>
    </w:p>
    <w:p w14:paraId="0412C4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3524250" cy="2714625"/>
            <wp:effectExtent l="0" t="0" r="6350" b="3175"/>
            <wp:docPr id="11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D5BF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7.时间序列carry</w:t>
      </w:r>
    </w:p>
    <w:p w14:paraId="3C17E9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Koijen et al.(2013)在介绍carry策略时，既研究了横截面的carry，也测试了时间序列上的carry。横截面的carry，也可以叫做相对carry，即在某个交易日t，根据因子值对所有商品进行排序，选择一篮子商品建立多头组合和空头组合。时间序列carry，只关注商品自身的历史情况，根据因子值产生买卖信号进行择时。</w:t>
      </w:r>
    </w:p>
    <w:p w14:paraId="57C48F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利用ts因子，我们设计如下时间序列策略：1）对每一个商品，当ts因子小于0时，建立多头头寸；当ts因子大于0时，建立空头头寸。</w:t>
      </w:r>
    </w:p>
    <w:p w14:paraId="5306F8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交易成本为单边2.5‰时，固定商品池所有商品的风险收益指标统计如图6。</w:t>
      </w:r>
    </w:p>
    <w:p w14:paraId="338A34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5274310" cy="1905635"/>
            <wp:effectExtent l="0" t="0" r="8890" b="12065"/>
            <wp:docPr id="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图6 时间序列carry风险收益矩阵</w:t>
      </w:r>
    </w:p>
    <w:p w14:paraId="1E3780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32"/>
          <w:szCs w:val="32"/>
        </w:rPr>
      </w:pPr>
    </w:p>
    <w:p w14:paraId="6F9B96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可以看到，ts作为一个择时指标，在大多数商品上能实现正的风险调整收益。然而，该择时策略也面临着波动大、回撤大的缺点。另外，如何把单个商品汇总成多商品组合，也是一个需要探讨的地方。关于时间序列上的carry，需要进一步优化，这是一个方向。</w:t>
      </w:r>
    </w:p>
    <w:p w14:paraId="27EB0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8.和其他模型的比较</w:t>
      </w:r>
    </w:p>
    <w:p w14:paraId="10E7F4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一个策略的价值，除了其自身具有较高的逻辑性、稳健性和收益性外，还需要带来新的信息增量。如果该策略和已有的策略高度重叠，能被已有策略解释，不具有任何差异性，那么即使新策略多么漂亮也只是一个影子罢了。</w:t>
      </w:r>
    </w:p>
    <w:p w14:paraId="2337EA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图7计算了carry组合和趋势跟踪策略、A股指数、利率债指数、信用债指数和大宗商品指数的相关性。可以看到，carry组合和商品趋势跟踪组合相关性较低，可以有效提高CTA组合的多样性；和其他几类资产相比，相关性更低，对于多资产多因子组合来说，是一个非常有潜力的分散源。</w:t>
      </w:r>
    </w:p>
    <w:p w14:paraId="7D3458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drawing>
          <wp:inline distT="0" distB="0" distL="114300" distR="114300">
            <wp:extent cx="4695825" cy="3133725"/>
            <wp:effectExtent l="0" t="0" r="3175" b="3175"/>
            <wp:docPr id="9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1C0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图7 相关性分析</w:t>
      </w:r>
    </w:p>
    <w:p w14:paraId="13250A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/>
        <w:jc w:val="center"/>
        <w:rPr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其中Trend用的是中信商品动量指数，Commodity用的南华商品指数，Ashare用的中证全A指数，Treasure和Credit分别用的是中债国债和信用债总财富指数</w:t>
      </w:r>
    </w:p>
    <w:p w14:paraId="0A9C8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4292E"/>
          <w:spacing w:val="5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9.总结</w:t>
      </w:r>
    </w:p>
    <w:p w14:paraId="17010D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本文在已有研究和经验的基础上，介绍了Carry策略的基本原理，并对该策略进行了全方位的回溯。本文设计的的carry策略测试效果较好，结果稳健，并与其它策略相关性较低，可以为多元化组合提供新的收益来源。</w:t>
      </w:r>
    </w:p>
    <w:p w14:paraId="758416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进一步研究的方向有：</w:t>
      </w:r>
    </w:p>
    <w:p w14:paraId="52375E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1）时间序列carry稳健组合构建方式；</w:t>
      </w:r>
    </w:p>
    <w:p w14:paraId="68AF38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2）因子计算和组合权重的深度优化；</w:t>
      </w:r>
    </w:p>
    <w:p w14:paraId="2E3AD9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4292E"/>
          <w:spacing w:val="5"/>
          <w:sz w:val="32"/>
          <w:szCs w:val="32"/>
          <w:bdr w:val="none" w:color="auto" w:sz="0" w:space="0"/>
          <w:shd w:val="clear" w:fill="FFFFFF"/>
        </w:rPr>
        <w:t>3）优化展期策略（例如延迟或提前展期）。</w:t>
      </w:r>
    </w:p>
    <w:p w14:paraId="3E187E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TeX_Ma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61198B"/>
    <w:rsid w:val="2961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2026-06-15T13:39:00Z</dcterms:created>
  <dc:creator>龚俐达</dc:creator>
  <cp:lastModifiedBy>龚俐达</cp:lastModifiedBy>
  <dcterms:modified xsi:type="dcterms:W3CDTF">2026-06-15T13:40:42Z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6265AD7FB46B4671852D683A7438A039_11</vt:lpwstr>
  </property>
  <property fmtid="{D5CDD505-2E9C-101B-9397-08002B2CF9AE}" pid="4" name="KSOTemplateDocerSaveRecord">
    <vt:lpwstr>eyJoZGlkIjoiMmYzMjk1ZGVhZmU0NmI4ZmI2YjYzYThhYjQzNGIyOTUiLCJ1c2VySWQiOiI5MTg2OTI5NzIifQ==</vt:lpwstr>
  </property>
</Properties>
</file>