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/>
      </w:tblPr>
      <w:tblGrid>
        <w:gridCol w:w="10840"/>
      </w:tblGrid>
      <w:tr w:rsidR="00090CDD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90CDD" w:rsidRDefault="00090CDD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:rsidR="00090CDD" w:rsidRDefault="00BA4D34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090CDD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Name</w:t>
      </w:r>
    </w:p>
    <w:p w:rsidR="00090CDD" w:rsidRDefault="00264C2E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lastRenderedPageBreak/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6630"/>
        <w:gridCol w:w="690"/>
        <w:gridCol w:w="3520"/>
      </w:tblGrid>
      <w:tr w:rsidR="00090CDD"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Professional Summary </w:t>
            </w:r>
            <w:r w:rsidR="00747722" w:rsidRPr="00747722">
              <w:pict>
                <v:rect id="_x0000_s1031" style="width:152.8pt;height:10.5pt;mso-position-horizontal-relative:char;mso-position-vertical-relative:line" fillcolor="#dfe6eb" stroked="f">
                  <v:path strokeok="f"/>
                </v:rect>
              </w:pict>
            </w:r>
          </w:p>
          <w:p w:rsidR="00090CDD" w:rsidRPr="005076D5" w:rsidRDefault="00F12556">
            <w:pPr>
              <w:pStyle w:val="bottomlowborder"/>
              <w:rPr>
                <w:rStyle w:val="documentleft-box"/>
                <w:rFonts w:ascii="Georgia" w:eastAsia="Fira Sans" w:hAnsi="Georgia" w:cs="Fira Sans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proofErr w:type="gram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for  Fortune</w:t>
            </w:r>
            <w:proofErr w:type="gram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proofErr w:type="spell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aroganization</w:t>
            </w:r>
            <w:proofErr w:type="spell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:rsidR="00F12556" w:rsidRPr="00F12556" w:rsidRDefault="00F12556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Work History </w:t>
            </w:r>
            <w:r w:rsidR="00747722" w:rsidRPr="00747722">
              <w:pict>
                <v:rect id="_x0000_s1030" style="width:220.2pt;height:10.5pt;mso-position-horizontal-relative:char;mso-position-vertical-relative:line" fillcolor="#dfe6eb" stroked="f">
                  <v:path strokeok="f"/>
                </v:rect>
              </w:pict>
            </w:r>
          </w:p>
          <w:p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12/2019 to Current</w:t>
            </w:r>
          </w:p>
          <w:p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Company 1</w:t>
            </w:r>
            <w:r w:rsidR="00264C2E"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–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Deep expertise in the AWS components &amp; APIs o Expert working knowledge of Operating Systems (Windows and Linux). o Advanced knowledge of databases (SQL Server and </w:t>
            </w:r>
            <w:proofErr w:type="spellStart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MySQL</w:t>
            </w:r>
            <w:proofErr w:type="spellEnd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) + Advanced knowledge of relevant web services, mail, backup, and application monitoring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Support the business development lifecycle (Business Development, Capture, Solution Architect next migration path, cost reporting and </w:t>
            </w:r>
            <w:proofErr w:type="spellStart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impartments</w:t>
            </w:r>
            <w:proofErr w:type="spellEnd"/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Work with </w:t>
            </w:r>
            <w:proofErr w:type="spellStart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onboarding</w:t>
            </w:r>
            <w:proofErr w:type="spellEnd"/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 xml:space="preserve"> internal clients</w:t>
            </w:r>
          </w:p>
          <w:p w:rsidR="00090CDD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08/2017 to 10/2019</w:t>
            </w:r>
          </w:p>
          <w:p w:rsidR="00090CDD" w:rsidRDefault="005076D5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</w:t>
            </w:r>
            <w:r w:rsidR="00264C2E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 xml:space="preserve">Responsible for working in concert with account executives, peers and customers across the Midwest in a consultative fashion to the architect </w:t>
            </w: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lastRenderedPageBreak/>
              <w:t>on-premise and cloud-based solutions to solve real-world issues.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Consult with customers to develop Disaster Recovery (DR) and Business Continuity (BC) solutions.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Increase performance and scalability, and reduced total cost of ownership by sizing solutions to meet system workload requirements.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Successfully </w:t>
            </w:r>
            <w:proofErr w:type="gramStart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migrate</w:t>
            </w:r>
            <w:proofErr w:type="gramEnd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 customers to the latest virtual server and storage technologies to improve performance, provide highly available systems, the lower total cost of ownership, and increase scalability and manageability.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Leverage Amazon Web Services to implement proofs-of-concept (POC) based on new capabilities such as </w:t>
            </w:r>
            <w:proofErr w:type="spellStart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Hadoop</w:t>
            </w:r>
            <w:proofErr w:type="spellEnd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 batch processing, </w:t>
            </w:r>
            <w:proofErr w:type="spellStart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NoSQL</w:t>
            </w:r>
            <w:proofErr w:type="spellEnd"/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 xml:space="preserve"> databases, semantic tagging and enrichment, and taxonomy management to improve content targeting, SEO, information discovery and content mining.</w:t>
            </w:r>
          </w:p>
          <w:p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:rsidR="00090CDD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05/2015 to 07/2017</w:t>
            </w:r>
          </w:p>
          <w:p w:rsidR="00EB24D1" w:rsidRDefault="00EB24D1" w:rsidP="00EB24D1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City, State</w:t>
            </w:r>
          </w:p>
          <w:p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Working knowledge of one or more of the following programming languages: .NET, C++, Java, JSON, PHP, Perl, Python, Ruby on Rails, Pig/Hive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Work with top ISV partners to help shape and execute a strategy to develop their next gen </w:t>
            </w:r>
            <w:proofErr w:type="spell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SaaS</w:t>
            </w:r>
            <w:proofErr w:type="spell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offerings on the Oracle public Cloud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Monitoring the On-</w:t>
            </w:r>
            <w:proofErr w:type="spell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Prem</w:t>
            </w:r>
            <w:proofErr w:type="spell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Development and </w:t>
            </w:r>
            <w:proofErr w:type="spellStart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Qlik</w:t>
            </w:r>
            <w:proofErr w:type="spellEnd"/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 xml:space="preserve"> Cloud Development infrastructure and production environment to identify areas of improvement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:rsidR="00CC1B6A" w:rsidRPr="00CC1B6A" w:rsidRDefault="00CC1B6A" w:rsidP="00CC1B6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14"/>
                <w:szCs w:val="14"/>
              </w:rPr>
            </w:pPr>
          </w:p>
          <w:p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Education </w:t>
            </w:r>
            <w:r w:rsidR="00747722" w:rsidRPr="00747722">
              <w:pict>
                <v:rect id="_x0000_s1029" style="width:245.85pt;height:10.5pt;mso-position-horizontal-relative:char;mso-position-vertical-relative:line" fillcolor="#dfe6eb" stroked="f">
                  <v:path strokeok="f"/>
                </v:rect>
              </w:pict>
            </w:r>
          </w:p>
          <w:p w:rsidR="00090CDD" w:rsidRPr="00BA4D34" w:rsidRDefault="00BA4D34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color w:val="FF0000"/>
                <w:sz w:val="20"/>
                <w:szCs w:val="20"/>
              </w:rPr>
            </w:pPr>
            <w:r w:rsidRPr="00BA4D34">
              <w:rPr>
                <w:rStyle w:val="documenttxtBold"/>
                <w:rFonts w:ascii="Fira Sans" w:eastAsia="Fira Sans" w:hAnsi="Fira Sans" w:cs="Fira Sans"/>
                <w:b w:val="0"/>
                <w:color w:val="FF0000"/>
                <w:sz w:val="20"/>
                <w:szCs w:val="20"/>
              </w:rPr>
              <w:t>Insert Degree here</w:t>
            </w:r>
          </w:p>
          <w:p w:rsidR="00090CDD" w:rsidRDefault="00264C2E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beforecolonspac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</w:p>
          <w:p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lastRenderedPageBreak/>
              <w:t> </w:t>
            </w:r>
          </w:p>
          <w:p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Certifications </w:t>
            </w:r>
            <w:r w:rsidR="00747722" w:rsidRPr="00747722">
              <w:pict>
                <v:rect id="_x0000_s1028" style="width:216.25pt;height:10.5pt;mso-position-horizontal-relative:char;mso-position-vertical-relative:line" fillcolor="#dfe6eb" stroked="f">
                  <v:path strokeok="f"/>
                </v:rect>
              </w:pict>
            </w:r>
          </w:p>
          <w:p w:rsidR="00090CDD" w:rsidRPr="00BA4D3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</w:pPr>
            <w:r w:rsidRPr="00BA4D34"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  <w:t>Insert Certifications here</w:t>
            </w:r>
          </w:p>
          <w:p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90CDD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090CDD" w:rsidRDefault="00264C2E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Contact </w:t>
            </w:r>
            <w:r w:rsidR="00747722" w:rsidRPr="00747722">
              <w:pict>
                <v:rect id="_x0000_s1027" style="width:105.45pt;height:10.5pt;mso-position-horizontal-relative:char;mso-position-vertical-relative:line" fillcolor="#dfe6eb" stroked="f">
                  <v:path strokeok="f"/>
                </v:rect>
              </w:pict>
            </w:r>
          </w:p>
          <w:p w:rsidR="00090CDD" w:rsidRDefault="00264C2E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 w:rsidR="00F12556">
              <w:rPr>
                <w:rStyle w:val="span"/>
                <w:rFonts w:ascii="Fira Sans" w:eastAsia="Fira Sans" w:hAnsi="Fira Sans" w:cs="Fira Sans"/>
                <w:color w:val="000000"/>
              </w:rPr>
              <w:t>City, State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 xml:space="preserve">Euless Texas </w:t>
            </w:r>
          </w:p>
          <w:p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:rsidR="00090CDD" w:rsidRDefault="00264C2E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Skills </w:t>
            </w:r>
            <w:r w:rsidR="00747722" w:rsidRPr="00747722">
              <w:pict>
                <v:rect id="_x0000_s1026" style="width:119.85pt;height:10.5pt;mso-position-horizontal-relative:char;mso-position-vertical-relative:line" fillcolor="#dfe6eb" stroked="f">
                  <v:path strokeok="f"/>
                </v:rect>
              </w:pic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P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roficient in Business Analysis, Business Knowledge, Software Engineering Leadership, Architecture Knowledge and Technical Solution Design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5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+ years of building scalable and highly available enterprise applications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Comfortable working with highly distributed teams, including interaction with the open source communities via email and IRC</w:t>
            </w:r>
          </w:p>
          <w:p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:rsidR="00090CDD" w:rsidRDefault="00090CDD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/>
      </w:tblPr>
      <w:tblGrid>
        <w:gridCol w:w="10850"/>
      </w:tblGrid>
      <w:tr w:rsidR="00090CDD">
        <w:tc>
          <w:tcPr>
            <w:tcW w:w="5000" w:type="pct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:rsidR="00090CDD" w:rsidRDefault="00090CDD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:rsidR="00090CDD" w:rsidRDefault="00090CDD">
      <w:pPr>
        <w:rPr>
          <w:rFonts w:ascii="Fira Sans" w:eastAsia="Fira Sans" w:hAnsi="Fira Sans" w:cs="Fira Sans"/>
          <w:color w:val="000000"/>
        </w:rPr>
      </w:pPr>
    </w:p>
    <w:sectPr w:rsidR="00090CDD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auto"/>
    <w:pitch w:val="default"/>
    <w:sig w:usb0="00000000" w:usb1="00000000" w:usb2="00000000" w:usb3="00000000" w:csb0="00000001" w:csb1="00000000"/>
    <w:embedRegular r:id="rId1" w:fontKey="{D3E386D6-893A-4A4F-A17A-965612DF3694}"/>
    <w:embedBold r:id="rId2" w:fontKey="{25C7715C-6966-43AC-A87D-7B94FD54A8F3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D91658B3-163F-4FA1-AF75-15D7E6439F9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11"/>
  </w:num>
  <w:num w:numId="10">
    <w:abstractNumId w:val="17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proofState w:spelling="clean" w:grammar="clean"/>
  <w:defaultTabStop w:val="720"/>
  <w:noPunctuationKerning/>
  <w:characterSpacingControl w:val="doNotCompress"/>
  <w:compat/>
  <w:rsids>
    <w:rsidRoot w:val="00090CDD"/>
    <w:rsid w:val="00090CDD"/>
    <w:rsid w:val="00264C2E"/>
    <w:rsid w:val="002C536B"/>
    <w:rsid w:val="005076D5"/>
    <w:rsid w:val="00747722"/>
    <w:rsid w:val="007D1B38"/>
    <w:rsid w:val="00BA4D34"/>
    <w:rsid w:val="00CC1B6A"/>
    <w:rsid w:val="00EB24D1"/>
    <w:rsid w:val="00F1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>HP</Company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Emmanuella  Tchombe</dc:title>
  <dc:creator>godwill</dc:creator>
  <cp:lastModifiedBy>Godwill Ngwanah</cp:lastModifiedBy>
  <cp:revision>6</cp:revision>
  <dcterms:created xsi:type="dcterms:W3CDTF">2022-01-27T17:33:00Z</dcterms:created>
  <dcterms:modified xsi:type="dcterms:W3CDTF">2022-01-27T18:35:00Z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