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627261">
      <w:pPr>
        <w:spacing w:after="0" w:line="240" w:lineRule="auto"/>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443A87E7" w14:textId="69C8C439" w:rsidR="003A4D8A" w:rsidRPr="00CB4D47"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Launch a </w:t>
      </w:r>
      <w:r w:rsidR="00BE4948">
        <w:rPr>
          <w:rFonts w:ascii="Helvetica" w:eastAsia="Times New Roman" w:hAnsi="Helvetica" w:cs="Helvetica"/>
          <w:color w:val="202124"/>
          <w:sz w:val="26"/>
          <w:szCs w:val="26"/>
        </w:rPr>
        <w:t>an EC2 Instance</w:t>
      </w:r>
      <w:r w:rsidRPr="00195BD4">
        <w:rPr>
          <w:rFonts w:ascii="Helvetica" w:eastAsia="Times New Roman" w:hAnsi="Helvetica" w:cs="Helvetica"/>
          <w:color w:val="202124"/>
          <w:sz w:val="26"/>
          <w:szCs w:val="26"/>
        </w:rPr>
        <w:t xml:space="preserve"> </w:t>
      </w:r>
    </w:p>
    <w:p w14:paraId="3191417A" w14:textId="4D9057F0" w:rsidR="003A4D8A"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r w:rsidR="00CB4D47">
        <w:rPr>
          <w:rFonts w:ascii="Helvetica" w:eastAsia="Times New Roman" w:hAnsi="Helvetica" w:cs="Helvetica"/>
          <w:color w:val="202124"/>
          <w:sz w:val="26"/>
          <w:szCs w:val="26"/>
        </w:rPr>
        <w:t>.</w:t>
      </w:r>
    </w:p>
    <w:p w14:paraId="559B9AD9" w14:textId="77777777" w:rsidR="00CB4D47" w:rsidRPr="00CB4D47" w:rsidRDefault="00CB4D47" w:rsidP="00CB4D47">
      <w:pPr>
        <w:spacing w:after="0" w:line="240" w:lineRule="auto"/>
        <w:rPr>
          <w:rFonts w:ascii="Helvetica" w:eastAsia="Times New Roman" w:hAnsi="Helvetica" w:cs="Helvetica"/>
          <w:color w:val="202124"/>
          <w:sz w:val="26"/>
          <w:szCs w:val="26"/>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703A1E33"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00FC159F">
        <w:rPr>
          <w:rFonts w:ascii="Helvetica" w:eastAsia="Times New Roman" w:hAnsi="Helvetica" w:cs="Helvetica"/>
          <w:b/>
          <w:bCs/>
          <w:color w:val="202124"/>
          <w:sz w:val="26"/>
          <w:szCs w:val="26"/>
        </w:rPr>
        <w:t>,</w:t>
      </w:r>
      <w:r w:rsidRPr="00E46CB0">
        <w:rPr>
          <w:rFonts w:ascii="Helvetica" w:eastAsia="Times New Roman" w:hAnsi="Helvetica" w:cs="Helvetica"/>
          <w:color w:val="202124"/>
          <w:sz w:val="26"/>
          <w:szCs w:val="26"/>
        </w:rPr>
        <w:t xml:space="preserve"> toggle </w:t>
      </w:r>
      <w:r w:rsidR="00FC159F" w:rsidRPr="00FC159F">
        <w:rPr>
          <w:rFonts w:ascii="Helvetica" w:eastAsia="Times New Roman" w:hAnsi="Helvetica" w:cs="Helvetica"/>
          <w:b/>
          <w:bCs/>
          <w:color w:val="202124"/>
          <w:sz w:val="26"/>
          <w:szCs w:val="26"/>
        </w:rPr>
        <w:t>on</w:t>
      </w:r>
      <w:r w:rsidR="00FC159F">
        <w:rPr>
          <w:rFonts w:ascii="Helvetica" w:eastAsia="Times New Roman" w:hAnsi="Helvetica" w:cs="Helvetica"/>
          <w:color w:val="202124"/>
          <w:sz w:val="26"/>
          <w:szCs w:val="26"/>
        </w:rPr>
        <w:t xml:space="preserve"> </w:t>
      </w:r>
      <w:r w:rsidRPr="00E46CB0">
        <w:rPr>
          <w:rFonts w:ascii="Helvetica" w:eastAsia="Times New Roman" w:hAnsi="Helvetica" w:cs="Helvetica"/>
          <w:color w:val="202124"/>
          <w:sz w:val="26"/>
          <w:szCs w:val="26"/>
        </w:rPr>
        <w:t>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75800B06"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w:t>
      </w:r>
      <w:r w:rsidR="00BE4948">
        <w:rPr>
          <w:rFonts w:ascii="Helvetica" w:hAnsi="Helvetica" w:cs="Helvetica"/>
          <w:sz w:val="26"/>
          <w:szCs w:val="26"/>
          <w:shd w:val="clear" w:color="auto" w:fill="ED7D31" w:themeFill="accent2"/>
        </w:rPr>
        <w:t>S</w:t>
      </w:r>
      <w:r w:rsidRPr="00A86F5C">
        <w:rPr>
          <w:rFonts w:ascii="Helvetica" w:hAnsi="Helvetica" w:cs="Helvetica"/>
          <w:sz w:val="26"/>
          <w:szCs w:val="26"/>
          <w:shd w:val="clear" w:color="auto" w:fill="ED7D31" w:themeFill="accent2"/>
        </w:rPr>
        <w:t>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5EC3181E"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w:t>
      </w:r>
      <w:proofErr w:type="gramStart"/>
      <w:r w:rsidRPr="00195BD4">
        <w:rPr>
          <w:rFonts w:ascii="Helvetica" w:eastAsia="Times New Roman" w:hAnsi="Helvetica" w:cs="Helvetica"/>
          <w:color w:val="202124"/>
          <w:sz w:val="26"/>
          <w:szCs w:val="26"/>
        </w:rPr>
        <w:t xml:space="preserve">most </w:t>
      </w:r>
      <w:r w:rsidR="00BE4948" w:rsidRPr="00195BD4">
        <w:rPr>
          <w:rFonts w:ascii="Helvetica" w:eastAsia="Times New Roman" w:hAnsi="Helvetica" w:cs="Helvetica"/>
          <w:color w:val="202124"/>
          <w:sz w:val="26"/>
          <w:szCs w:val="26"/>
        </w:rPr>
        <w:t>commonly 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4D952ABF" w14:textId="5A1DF17F" w:rsidR="00A86F5C" w:rsidRDefault="00A86F5C" w:rsidP="00A86F5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Please refer</w:t>
      </w:r>
      <w:r w:rsidR="004B7F05">
        <w:rPr>
          <w:rFonts w:ascii="Helvetica" w:eastAsia="Times New Roman" w:hAnsi="Helvetica" w:cs="Helvetica"/>
          <w:color w:val="202124"/>
          <w:sz w:val="26"/>
          <w:szCs w:val="26"/>
        </w:rPr>
        <w:t xml:space="preserve">ence </w:t>
      </w:r>
      <w:r w:rsidR="004B7F05" w:rsidRPr="004B7F05">
        <w:rPr>
          <w:rFonts w:ascii="Helvetica" w:eastAsia="Times New Roman" w:hAnsi="Helvetica" w:cs="Helvetica"/>
          <w:i/>
          <w:iCs/>
          <w:color w:val="ED7D31" w:themeColor="accent2"/>
          <w:sz w:val="26"/>
          <w:szCs w:val="26"/>
        </w:rPr>
        <w:t>“</w:t>
      </w:r>
      <w:r w:rsidR="004B7F05" w:rsidRPr="004B7F05">
        <w:rPr>
          <w:rFonts w:ascii="Helvetica" w:eastAsia="Times New Roman" w:hAnsi="Helvetica" w:cs="Helvetica"/>
          <w:b/>
          <w:bCs/>
          <w:i/>
          <w:iCs/>
          <w:color w:val="ED7D31" w:themeColor="accent2"/>
          <w:sz w:val="26"/>
          <w:szCs w:val="26"/>
        </w:rPr>
        <w:t>Create a Keypair</w:t>
      </w:r>
      <w:r w:rsidR="004B7F05" w:rsidRPr="004B7F05">
        <w:rPr>
          <w:rFonts w:ascii="Helvetica" w:eastAsia="Times New Roman" w:hAnsi="Helvetica" w:cs="Helvetica"/>
          <w:b/>
          <w:bCs/>
          <w:i/>
          <w:iCs/>
          <w:color w:val="ED7D31" w:themeColor="accent2"/>
          <w:sz w:val="26"/>
          <w:szCs w:val="26"/>
        </w:rPr>
        <w:t>”</w:t>
      </w:r>
      <w:r>
        <w:rPr>
          <w:rFonts w:ascii="Helvetica" w:eastAsia="Times New Roman" w:hAnsi="Helvetica" w:cs="Helvetica"/>
          <w:color w:val="202124"/>
          <w:sz w:val="26"/>
          <w:szCs w:val="26"/>
        </w:rPr>
        <w:t xml:space="preserve"> </w:t>
      </w:r>
      <w:r w:rsidR="004B7F05">
        <w:rPr>
          <w:rFonts w:ascii="Helvetica" w:eastAsia="Times New Roman" w:hAnsi="Helvetica" w:cs="Helvetica"/>
          <w:color w:val="202124"/>
          <w:sz w:val="26"/>
          <w:szCs w:val="26"/>
        </w:rPr>
        <w:t>lecture on how to create a Keypair.</w:t>
      </w:r>
      <w:r>
        <w:rPr>
          <w:rFonts w:ascii="Helvetica" w:eastAsia="Times New Roman" w:hAnsi="Helvetica" w:cs="Helvetica"/>
          <w:color w:val="202124"/>
          <w:sz w:val="26"/>
          <w:szCs w:val="26"/>
        </w:rPr>
        <w:t xml:space="preserve"> </w:t>
      </w:r>
    </w:p>
    <w:p w14:paraId="5EBB2C9C" w14:textId="5645FC90" w:rsidR="00A86F5C" w:rsidRPr="00A86F5C" w:rsidRDefault="004B7F05" w:rsidP="00A86F5C">
      <w:pPr>
        <w:spacing w:after="360" w:line="240" w:lineRule="auto"/>
        <w:ind w:left="1620"/>
        <w:rPr>
          <w:rFonts w:ascii="Helvetica" w:eastAsia="Times New Roman" w:hAnsi="Helvetica" w:cs="Helvetica"/>
          <w:color w:val="202124"/>
          <w:sz w:val="26"/>
          <w:szCs w:val="26"/>
        </w:rPr>
      </w:pPr>
      <w:r>
        <w:rPr>
          <w:rFonts w:ascii="Helvetica" w:eastAsia="Times New Roman" w:hAnsi="Helvetica" w:cs="Helvetica"/>
          <w:i/>
          <w:iCs/>
          <w:color w:val="FF0000"/>
          <w:sz w:val="26"/>
          <w:szCs w:val="26"/>
        </w:rPr>
        <w:t>Creating multiple</w:t>
      </w:r>
      <w:r w:rsidR="00A86F5C" w:rsidRPr="00A86F5C">
        <w:rPr>
          <w:rFonts w:ascii="Helvetica" w:eastAsia="Times New Roman" w:hAnsi="Helvetica" w:cs="Helvetica"/>
          <w:i/>
          <w:iCs/>
          <w:color w:val="FF0000"/>
          <w:sz w:val="26"/>
          <w:szCs w:val="26"/>
        </w:rPr>
        <w:t xml:space="preserve"> keypair per region</w:t>
      </w:r>
      <w:r>
        <w:rPr>
          <w:rFonts w:ascii="Helvetica" w:eastAsia="Times New Roman" w:hAnsi="Helvetica" w:cs="Helvetica"/>
          <w:i/>
          <w:iCs/>
          <w:color w:val="FF0000"/>
          <w:sz w:val="26"/>
          <w:szCs w:val="26"/>
        </w:rPr>
        <w:t xml:space="preserve"> isn’t necessary</w:t>
      </w:r>
      <w:r w:rsidR="00A86F5C" w:rsidRPr="00A86F5C">
        <w:rPr>
          <w:rFonts w:ascii="Helvetica" w:eastAsia="Times New Roman" w:hAnsi="Helvetica" w:cs="Helvetica"/>
          <w:i/>
          <w:iCs/>
          <w:color w:val="FF0000"/>
          <w:sz w:val="26"/>
          <w:szCs w:val="26"/>
        </w:rPr>
        <w:t>.</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06DA22D3"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w:t>
      </w:r>
      <w:r w:rsidR="00BE4948" w:rsidRPr="00BE4948">
        <w:rPr>
          <w:rFonts w:ascii="Helvetica" w:eastAsia="Times New Roman" w:hAnsi="Helvetica" w:cs="Helvetica"/>
          <w:color w:val="202124"/>
          <w:sz w:val="26"/>
          <w:szCs w:val="26"/>
          <w:highlight w:val="yellow"/>
        </w:rPr>
        <w:t xml:space="preserve">Procced without a </w:t>
      </w:r>
      <w:proofErr w:type="gramStart"/>
      <w:r w:rsidR="00BE4948" w:rsidRPr="00BE4948">
        <w:rPr>
          <w:rFonts w:ascii="Helvetica" w:eastAsia="Times New Roman" w:hAnsi="Helvetica" w:cs="Helvetica"/>
          <w:color w:val="202124"/>
          <w:sz w:val="26"/>
          <w:szCs w:val="26"/>
          <w:highlight w:val="yellow"/>
        </w:rPr>
        <w:t>keypair</w:t>
      </w:r>
      <w:proofErr w:type="gramEnd"/>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6EC93B16" w:rsidR="00906748" w:rsidRPr="00A86F5C" w:rsidRDefault="00BE49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thing section as default.</w:t>
      </w:r>
    </w:p>
    <w:p w14:paraId="47EFFD86" w14:textId="29C7506D" w:rsidR="002F0981" w:rsidRDefault="002F0981" w:rsidP="002F0981">
      <w:pPr>
        <w:spacing w:after="0" w:line="240" w:lineRule="auto"/>
        <w:rPr>
          <w:rFonts w:ascii="Helvetica" w:eastAsia="Times New Roman" w:hAnsi="Helvetica" w:cs="Helvetica"/>
          <w:color w:val="202124"/>
          <w:sz w:val="26"/>
          <w:szCs w:val="26"/>
        </w:rPr>
      </w:pP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lastRenderedPageBreak/>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7ED89248" w14:textId="2ED191C8" w:rsidR="00A86F5C" w:rsidRDefault="00BE4948" w:rsidP="00BE49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this section as default.</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4ADE5CC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00BE4948">
        <w:rPr>
          <w:rFonts w:ascii="Helvetica" w:eastAsia="Times New Roman" w:hAnsi="Helvetica" w:cs="Helvetica"/>
          <w:b/>
          <w:bCs/>
          <w:color w:val="202124"/>
          <w:sz w:val="26"/>
          <w:szCs w:val="26"/>
        </w:rPr>
        <w:t>Linux-Server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3DB5C07E" w14:textId="182C72D8" w:rsidR="00195BD4" w:rsidRPr="00195BD4" w:rsidRDefault="003A4D8A" w:rsidP="00BE494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sectPr w:rsidR="00195BD4" w:rsidRPr="00195B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1E75" w14:textId="77777777" w:rsidR="006F6143" w:rsidRDefault="006F6143" w:rsidP="00195BD4">
      <w:pPr>
        <w:spacing w:after="0" w:line="240" w:lineRule="auto"/>
      </w:pPr>
      <w:r>
        <w:separator/>
      </w:r>
    </w:p>
  </w:endnote>
  <w:endnote w:type="continuationSeparator" w:id="0">
    <w:p w14:paraId="14CEC0CF" w14:textId="77777777" w:rsidR="006F6143" w:rsidRDefault="006F6143"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7B17" w14:textId="77777777" w:rsidR="006F6143" w:rsidRDefault="006F6143" w:rsidP="00195BD4">
      <w:pPr>
        <w:spacing w:after="0" w:line="240" w:lineRule="auto"/>
      </w:pPr>
      <w:r>
        <w:separator/>
      </w:r>
    </w:p>
  </w:footnote>
  <w:footnote w:type="continuationSeparator" w:id="0">
    <w:p w14:paraId="281E60B9" w14:textId="77777777" w:rsidR="006F6143" w:rsidRDefault="006F6143"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543C10CB" w:rsidR="00315188" w:rsidRPr="00A86F5C" w:rsidRDefault="00627261">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1F2D8CAA" wp14:editId="49B6B0A4">
          <wp:extent cx="914400" cy="552477"/>
          <wp:effectExtent l="0" t="0" r="0" b="0"/>
          <wp:docPr id="3762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00A86F5C"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www.</w:t>
    </w:r>
    <w:r w:rsidRPr="00627261">
      <w:rPr>
        <w:b/>
        <w:bCs/>
        <w:i/>
        <w:iCs/>
        <w:color w:val="ED7D31" w:themeColor="accent2"/>
        <w:sz w:val="20"/>
        <w:szCs w:val="20"/>
      </w:rPr>
      <w:t>tngslearningsolutions.com</w:t>
    </w:r>
    <w:r w:rsidR="00A86F5C" w:rsidRPr="00627261">
      <w:rPr>
        <w:b/>
        <w:bCs/>
        <w:i/>
        <w:iCs/>
        <w:color w:val="ED7D31" w:themeColor="accent2"/>
        <w:sz w:val="20"/>
        <w:szCs w:val="20"/>
      </w:rPr>
      <w:t xml:space="preserve">  </w:t>
    </w:r>
    <w:hyperlink r:id="rId2" w:history="1">
      <w:r w:rsidRPr="00907CAF">
        <w:rPr>
          <w:rStyle w:val="Hyperlink"/>
          <w:b/>
          <w:bCs/>
          <w:i/>
          <w:iCs/>
          <w:sz w:val="20"/>
          <w:szCs w:val="20"/>
        </w:rPr>
        <w:t>info@tngslearningsolutions.com</w:t>
      </w:r>
    </w:hyperlink>
    <w:r w:rsidR="00315188" w:rsidRPr="00A86F5C">
      <w:rPr>
        <w:b/>
        <w:bCs/>
        <w:i/>
        <w:iCs/>
        <w:color w:val="C45911" w:themeColor="accent2" w:themeShade="BF"/>
        <w:sz w:val="20"/>
        <w:szCs w:val="20"/>
      </w:rPr>
      <w:tab/>
    </w:r>
    <w:r w:rsidR="00315188"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60157"/>
    <w:rsid w:val="003A4D8A"/>
    <w:rsid w:val="00490C60"/>
    <w:rsid w:val="004B7F05"/>
    <w:rsid w:val="004D7039"/>
    <w:rsid w:val="005105CC"/>
    <w:rsid w:val="005C0260"/>
    <w:rsid w:val="00627261"/>
    <w:rsid w:val="00677513"/>
    <w:rsid w:val="006F6143"/>
    <w:rsid w:val="00715346"/>
    <w:rsid w:val="00906748"/>
    <w:rsid w:val="009309F8"/>
    <w:rsid w:val="0094571F"/>
    <w:rsid w:val="009B32F3"/>
    <w:rsid w:val="009C0703"/>
    <w:rsid w:val="00A7306B"/>
    <w:rsid w:val="00A86D7B"/>
    <w:rsid w:val="00A86F5C"/>
    <w:rsid w:val="00BE4948"/>
    <w:rsid w:val="00C64943"/>
    <w:rsid w:val="00CB4D47"/>
    <w:rsid w:val="00DB4D49"/>
    <w:rsid w:val="00DD751E"/>
    <w:rsid w:val="00E46CB0"/>
    <w:rsid w:val="00F50696"/>
    <w:rsid w:val="00FC159F"/>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cp:lastPrinted>2023-05-16T23:54:00Z</cp:lastPrinted>
  <dcterms:created xsi:type="dcterms:W3CDTF">2023-09-19T17:08:00Z</dcterms:created>
  <dcterms:modified xsi:type="dcterms:W3CDTF">2023-09-19T17:08:00Z</dcterms:modified>
</cp:coreProperties>
</file>