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Times New Roman" w:cs="Times New Roman" w:eastAsia="Times New Roman" w:hAnsi="Times New Roman"/>
          <w:b/>
          <w:bCs/>
          <w:sz w:val="28"/>
          <w:szCs w:val="28"/>
        </w:rPr>
        <w:t xml:space="preserve">2. Materials and Methods</w:t>
      </w:r>
    </w:p>
    <w:p>
      <w:pPr>
        <w:spacing w:after="200"/>
        <w:jc w:val="both"/>
      </w:pPr>
      <w:r>
        <w:rPr>
          <w:rFonts w:ascii="Times New Roman" w:cs="Times New Roman" w:eastAsia="Times New Roman" w:hAnsi="Times New Roman"/>
          <w:sz w:val="22"/>
          <w:szCs w:val="22"/>
        </w:rPr>
        <w:t xml:space="preserve">This study addressed the limitations of conventional gradient-boosting classifiers under severe class imbalance by proposing GK-XGBoost, a focal-loss-augmented, minimum-child-weight-modified variant of XGBoost, trained on a hybrid corpus combining the WUSTL-EHMS-2020 public behavioural IoT security benchmark with primary field-collected student cybersecurity behavioural data from Kwame Nkrumah University of Science and Technology (KNUST), Ghana. The following subsections detail the study design, data acquisition, ethical safeguards, preprocessing pipeline, model contribution, explainability framework, evaluation protocol, and reproducibility controls.</w:t>
      </w:r>
    </w:p>
    <w:p>
      <w:pPr>
        <w:spacing w:after="140" w:before="280"/>
      </w:pPr>
      <w:r>
        <w:rPr>
          <w:rFonts w:ascii="Times New Roman" w:cs="Times New Roman" w:eastAsia="Times New Roman" w:hAnsi="Times New Roman"/>
          <w:b/>
          <w:bCs/>
          <w:sz w:val="22"/>
          <w:szCs w:val="22"/>
        </w:rPr>
        <w:t xml:space="preserve">2.1 Study Design and System Overview</w:t>
      </w:r>
    </w:p>
    <w:p>
      <w:pPr>
        <w:spacing w:after="200"/>
        <w:jc w:val="both"/>
      </w:pPr>
      <w:r>
        <w:rPr>
          <w:rFonts w:ascii="Times New Roman" w:cs="Times New Roman" w:eastAsia="Times New Roman" w:hAnsi="Times New Roman"/>
          <w:sz w:val="22"/>
          <w:szCs w:val="22"/>
        </w:rPr>
        <w:t xml:space="preserve">The overall architecture of the proposed GK-XGBoost framework is illustrated in Figure 1. The pipeline consisted of three sequential phases: (1) hybrid data acquisition and fusion, (2) model development and training, and (3) multi-role evaluation integrating statistical hypothesis testing and SHAP-based explainability. Unlike standard XGBoost classifiers (Chen &amp; Guestrin, 2016), which assign equal gradient weight to every misclassification during boosting, this study fabricated a focal-loss-weighted objective (Lin et al., 2017) and simultaneously modified the minimum child weight constraint (Operation M; see Section 2.6.2) to address the class imbalance characteristic of cybersecurity behavioural data, in which high-risk student profiles constitute a minority relative to low- and medium-risk instances.</w:t>
      </w:r>
    </w:p>
    <w:p>
      <w:pPr>
        <w:spacing w:after="80" w:before="120"/>
        <w:jc w:val="center"/>
      </w:pPr>
      <w:r>
        <w:rPr>
          <w:rFonts w:ascii="Times New Roman" w:cs="Times New Roman" w:eastAsia="Times New Roman" w:hAnsi="Times New Roman"/>
          <w:i/>
          <w:iCs/>
          <w:color w:val="666666"/>
          <w:sz w:val="20"/>
          <w:szCs w:val="20"/>
        </w:rPr>
        <w:t xml:space="preserve">[Insert Figure 1 here]</w:t>
      </w:r>
    </w:p>
    <w:p>
      <w:pPr>
        <w:spacing w:after="200" w:before="60"/>
      </w:pPr>
      <w:r>
        <w:rPr>
          <w:rFonts w:ascii="Times New Roman" w:cs="Times New Roman" w:eastAsia="Times New Roman" w:hAnsi="Times New Roman"/>
          <w:i/>
          <w:iCs/>
          <w:sz w:val="20"/>
          <w:szCs w:val="20"/>
        </w:rPr>
        <w:t xml:space="preserve">Figure 1. The proposed GK-XGBoost framework integrating KNUST field-collected student behavioural data with the WUSTL-EHMS-2020 public IoT security dataset, followed by the focal-loss module and role-differentiated SHAP explainability layer.</w:t>
      </w:r>
    </w:p>
    <w:p>
      <w:pPr>
        <w:spacing w:after="140" w:before="280"/>
      </w:pPr>
      <w:r>
        <w:rPr>
          <w:rFonts w:ascii="Times New Roman" w:cs="Times New Roman" w:eastAsia="Times New Roman" w:hAnsi="Times New Roman"/>
          <w:b/>
          <w:bCs/>
          <w:sz w:val="22"/>
          <w:szCs w:val="22"/>
        </w:rPr>
        <w:t xml:space="preserve">2.2 Research Setting and Data Acquisition</w:t>
      </w:r>
    </w:p>
    <w:p>
      <w:pPr>
        <w:spacing w:after="200"/>
        <w:jc w:val="both"/>
      </w:pPr>
      <w:r>
        <w:rPr>
          <w:rFonts w:ascii="Times New Roman" w:cs="Times New Roman" w:eastAsia="Times New Roman" w:hAnsi="Times New Roman"/>
          <w:sz w:val="22"/>
          <w:szCs w:val="22"/>
        </w:rPr>
        <w:t xml:space="preserve">Primary field data were collected from undergraduate and postgraduate students at Kwame Nkrumah University of Science and Technology (KNUST), Kumasi, Ghana, between January and March 2026, following approval by the KNUST Human Research, Publications and Ethics Committee (Reference: HURRRESEC/AP/[PENDING]/26), in accordance with the ethical standards set out in the Declaration of Helsinki (World Medical Association, 2013). A structured online survey was administered using a Google Forms instrument derived from the validated Human Aspects of Information Security Questionnaire (HAIS-Q; Parsons et al., 2014). The HAIS-Q assessed cybersecurity behaviours across four operationalised domains: (1) password management, (2) email and phishing susceptibility, (3) device security practices, and (4) software installation behaviour. Five items were rated on validated five-point Likert scales (1 = Never to 5 = Always), and eleven items used multiple-choice response formats. All participants provided informed consent; no personally identifiable information was retained. The final sample comprised 1,503 valid responses.</w:t>
      </w:r>
    </w:p>
    <w:p>
      <w:pPr>
        <w:spacing w:after="200"/>
        <w:jc w:val="both"/>
      </w:pPr>
      <w:r>
        <w:rPr>
          <w:rFonts w:ascii="Times New Roman" w:cs="Times New Roman" w:eastAsia="Times New Roman" w:hAnsi="Times New Roman"/>
          <w:sz w:val="22"/>
          <w:szCs w:val="22"/>
        </w:rPr>
        <w:t xml:space="preserve">The public benchmark dataset used for cross-domain validation is the WUSTL-EHMS-2020 (Washington University Embedded Health Monitoring Systems dataset; Abubakar et al., 2020), retrieved from the Kaggle platform under a CC-BY licence on 22 July 2026. WUSTL-EHMS-2020 comprises 16,318 network flow records from real healthcare IoT sensor deployments, described by 36 numeric features. The dataset carries a three-class attack label: Normal (n = 14,272; 87.5%), Spoofing (n = 1,124; 6.9%), and Data Alteration (n = 922; 5.6%), presenting a naturally imbalanced multi-class classification problem structurally analogous to the KNUST risk-class distribution. Table 1 summarises the key characteristics of both datasets.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Characteristic</w:t>
            </w:r>
          </w:p>
        </w:tc>
        <w:tc>
          <w:tcPr>
            <w:tcW w:type="dxa" w:w="32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KNUST Field Dataset</w:t>
            </w:r>
          </w:p>
        </w:tc>
        <w:tc>
          <w:tcPr>
            <w:tcW w:type="dxa" w:w="32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WUSTL-EHMS-2020</w:t>
            </w:r>
          </w:p>
        </w:tc>
      </w:tr>
      <w:tr>
        <w:tc>
          <w:tcPr>
            <w:tcW w:type="dxa" w:w="2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Source</w:t>
            </w:r>
          </w:p>
        </w:tc>
        <w:tc>
          <w:tcPr>
            <w:tcW w:type="dxa" w:w="32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HAIS-Q survey, KNUST Ghana</w:t>
            </w:r>
          </w:p>
        </w:tc>
        <w:tc>
          <w:tcPr>
            <w:tcW w:type="dxa" w:w="32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Kaggle / Washington University</w:t>
            </w:r>
          </w:p>
        </w:tc>
      </w:tr>
      <w:tr>
        <w:tc>
          <w:tcPr>
            <w:tcW w:type="dxa" w:w="2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Total instances</w:t>
            </w:r>
          </w:p>
        </w:tc>
        <w:tc>
          <w:tcPr>
            <w:tcW w:type="dxa" w:w="32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1,503</w:t>
            </w:r>
          </w:p>
        </w:tc>
        <w:tc>
          <w:tcPr>
            <w:tcW w:type="dxa" w:w="32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16,318</w:t>
            </w:r>
          </w:p>
        </w:tc>
      </w:tr>
      <w:tr>
        <w:tc>
          <w:tcPr>
            <w:tcW w:type="dxa" w:w="2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Number of features</w:t>
            </w:r>
          </w:p>
        </w:tc>
        <w:tc>
          <w:tcPr>
            <w:tcW w:type="dxa" w:w="32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15</w:t>
            </w:r>
          </w:p>
        </w:tc>
        <w:tc>
          <w:tcPr>
            <w:tcW w:type="dxa" w:w="32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36</w:t>
            </w:r>
          </w:p>
        </w:tc>
      </w:tr>
      <w:tr>
        <w:tc>
          <w:tcPr>
            <w:tcW w:type="dxa" w:w="2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Number of classes</w:t>
            </w:r>
          </w:p>
        </w:tc>
        <w:tc>
          <w:tcPr>
            <w:tcW w:type="dxa" w:w="32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3 (Low / Medium / High)</w:t>
            </w:r>
          </w:p>
        </w:tc>
        <w:tc>
          <w:tcPr>
            <w:tcW w:type="dxa" w:w="32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3 (Normal / Spoofing / Data Alteration)</w:t>
            </w:r>
          </w:p>
        </w:tc>
      </w:tr>
      <w:tr>
        <w:tc>
          <w:tcPr>
            <w:tcW w:type="dxa" w:w="2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Class distribution</w:t>
            </w:r>
          </w:p>
        </w:tc>
        <w:tc>
          <w:tcPr>
            <w:tcW w:type="dxa" w:w="32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50.0% / 39.5% / 10.5%</w:t>
            </w:r>
          </w:p>
        </w:tc>
        <w:tc>
          <w:tcPr>
            <w:tcW w:type="dxa" w:w="32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87.5% / 6.9% / 5.6%</w:t>
            </w:r>
          </w:p>
        </w:tc>
      </w:tr>
      <w:tr>
        <w:tc>
          <w:tcPr>
            <w:tcW w:type="dxa" w:w="2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Imbalance ratio (majority:minority)</w:t>
            </w:r>
          </w:p>
        </w:tc>
        <w:tc>
          <w:tcPr>
            <w:tcW w:type="dxa" w:w="32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4.76 : 1</w:t>
            </w:r>
          </w:p>
        </w:tc>
        <w:tc>
          <w:tcPr>
            <w:tcW w:type="dxa" w:w="32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15.48 : 1</w:t>
            </w:r>
          </w:p>
        </w:tc>
      </w:tr>
      <w:tr>
        <w:tc>
          <w:tcPr>
            <w:tcW w:type="dxa" w:w="2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Data type</w:t>
            </w:r>
          </w:p>
        </w:tc>
        <w:tc>
          <w:tcPr>
            <w:tcW w:type="dxa" w:w="32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Behavioural (Likert + categorical)</w:t>
            </w:r>
          </w:p>
        </w:tc>
        <w:tc>
          <w:tcPr>
            <w:tcW w:type="dxa" w:w="32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Network flow (numeric)</w:t>
            </w:r>
          </w:p>
        </w:tc>
      </w:tr>
      <w:tr>
        <w:tc>
          <w:tcPr>
            <w:tcW w:type="dxa" w:w="28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Collection period</w:t>
            </w:r>
          </w:p>
        </w:tc>
        <w:tc>
          <w:tcPr>
            <w:tcW w:type="dxa" w:w="32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January to March 2026</w:t>
            </w:r>
          </w:p>
        </w:tc>
        <w:tc>
          <w:tcPr>
            <w:tcW w:type="dxa" w:w="328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2020 (publicly archived)</w:t>
            </w:r>
          </w:p>
        </w:tc>
      </w:tr>
    </w:tbl>
    <w:p>
      <w:pPr>
        <w:spacing w:after="200" w:before="60"/>
      </w:pPr>
      <w:r>
        <w:rPr>
          <w:rFonts w:ascii="Times New Roman" w:cs="Times New Roman" w:eastAsia="Times New Roman" w:hAnsi="Times New Roman"/>
          <w:i/>
          <w:iCs/>
          <w:sz w:val="20"/>
          <w:szCs w:val="20"/>
        </w:rPr>
        <w:t xml:space="preserve">Table 1. KNUST field data are the primary contribution of this study. WUSTL-EHMS-2020 is the public benchmark for cross-domain generalisation testing.</w:t>
      </w:r>
    </w:p>
    <w:p>
      <w:pPr>
        <w:spacing w:after="80"/>
      </w:pPr>
    </w:p>
    <w:p>
      <w:pPr>
        <w:spacing w:after="140" w:before="280"/>
      </w:pPr>
      <w:r>
        <w:rPr>
          <w:rFonts w:ascii="Times New Roman" w:cs="Times New Roman" w:eastAsia="Times New Roman" w:hAnsi="Times New Roman"/>
          <w:b/>
          <w:bCs/>
          <w:sz w:val="22"/>
          <w:szCs w:val="22"/>
        </w:rPr>
        <w:t xml:space="preserve">2.3 Risk Level Construction and Label Engineering</w:t>
      </w:r>
    </w:p>
    <w:p>
      <w:pPr>
        <w:spacing w:after="200"/>
        <w:jc w:val="both"/>
      </w:pPr>
      <w:r>
        <w:rPr>
          <w:rFonts w:ascii="Times New Roman" w:cs="Times New Roman" w:eastAsia="Times New Roman" w:hAnsi="Times New Roman"/>
          <w:sz w:val="22"/>
          <w:szCs w:val="22"/>
        </w:rPr>
        <w:t xml:space="preserve">For the KNUST field dataset, a composite cybersecurity risk score was computed by summing student responses across the five Likert-rated HAIS-Q items most directly linked to risky behaviour: password reuse frequency (Q4), use of weak passwords (Q5), propensity to click unsolicited email links (Q8), entering credentials via email-linked login pages (Q9), and installing software from unofficial sources (Q12). Each item was scored on a scale of 1 to 5, yielding a composite RiskScore in the range 5 to 25. Students were assigned to one of three risk classes according to the following thresholds, derived from the HAIS-Q scoring convention (Parsons et al., 2014) and validated against Protection Motivation Theory threat-appraisal severity gradients (Rogers, 1983):</w:t>
      </w:r>
    </w:p>
    <w:p>
      <w:pPr>
        <w:pStyle w:val="ListParagraph"/>
        <w:numPr>
          <w:ilvl w:val="0"/>
          <w:numId w:val="2"/>
        </w:numPr>
        <w:spacing w:after="120"/>
        <w:jc w:val="both"/>
      </w:pPr>
      <w:r>
        <w:rPr>
          <w:rFonts w:ascii="Times New Roman" w:cs="Times New Roman" w:eastAsia="Times New Roman" w:hAnsi="Times New Roman"/>
          <w:sz w:val="22"/>
          <w:szCs w:val="22"/>
        </w:rPr>
        <w:t xml:space="preserve">Low Risk: RiskScore 5 to 12 (n = 752; 50.0%)</w:t>
      </w:r>
    </w:p>
    <w:p>
      <w:pPr>
        <w:pStyle w:val="ListParagraph"/>
        <w:numPr>
          <w:ilvl w:val="0"/>
          <w:numId w:val="2"/>
        </w:numPr>
        <w:spacing w:after="120"/>
        <w:jc w:val="both"/>
      </w:pPr>
      <w:r>
        <w:rPr>
          <w:rFonts w:ascii="Times New Roman" w:cs="Times New Roman" w:eastAsia="Times New Roman" w:hAnsi="Times New Roman"/>
          <w:sz w:val="22"/>
          <w:szCs w:val="22"/>
        </w:rPr>
        <w:t xml:space="preserve">Medium Risk: RiskScore 13 to 17 (n = 593; 39.5%)</w:t>
      </w:r>
    </w:p>
    <w:p>
      <w:pPr>
        <w:pStyle w:val="ListParagraph"/>
        <w:numPr>
          <w:ilvl w:val="0"/>
          <w:numId w:val="2"/>
        </w:numPr>
        <w:spacing w:after="120"/>
        <w:jc w:val="both"/>
      </w:pPr>
      <w:r>
        <w:rPr>
          <w:rFonts w:ascii="Times New Roman" w:cs="Times New Roman" w:eastAsia="Times New Roman" w:hAnsi="Times New Roman"/>
          <w:sz w:val="22"/>
          <w:szCs w:val="22"/>
        </w:rPr>
        <w:t xml:space="preserve">High Risk: RiskScore 18 to 25 (n = 158; 10.5%)</w:t>
      </w:r>
    </w:p>
    <w:p>
      <w:pPr>
        <w:spacing w:after="200"/>
        <w:jc w:val="both"/>
      </w:pPr>
      <w:r>
        <w:rPr>
          <w:rFonts w:ascii="Times New Roman" w:cs="Times New Roman" w:eastAsia="Times New Roman" w:hAnsi="Times New Roman"/>
          <w:sz w:val="22"/>
          <w:szCs w:val="22"/>
        </w:rPr>
        <w:t xml:space="preserve">For WUSTL-EHMS-2020, the original dataset labels were retained without modification and encoded as integer targets (Normal = 0, Spoofing = 1, Data Alteration = 2) using scikit-learn LabelEncoder (Pedregosa et al., 2011).</w:t>
      </w:r>
    </w:p>
    <w:p>
      <w:pPr>
        <w:spacing w:after="140" w:before="280"/>
      </w:pPr>
      <w:r>
        <w:rPr>
          <w:rFonts w:ascii="Times New Roman" w:cs="Times New Roman" w:eastAsia="Times New Roman" w:hAnsi="Times New Roman"/>
          <w:b/>
          <w:bCs/>
          <w:sz w:val="22"/>
          <w:szCs w:val="22"/>
        </w:rPr>
        <w:t xml:space="preserve">2.4 Data Preprocessing Pipeline</w:t>
      </w:r>
    </w:p>
    <w:p>
      <w:pPr>
        <w:spacing w:after="200"/>
        <w:jc w:val="both"/>
      </w:pPr>
      <w:r>
        <w:rPr>
          <w:rFonts w:ascii="Times New Roman" w:cs="Times New Roman" w:eastAsia="Times New Roman" w:hAnsi="Times New Roman"/>
          <w:sz w:val="22"/>
          <w:szCs w:val="22"/>
        </w:rPr>
        <w:t xml:space="preserve">For the KNUST dataset, eleven categorical variables including Level of Study, Faculty/Department, Number of Devices, Two-Factor Authentication Usage, Password Change Frequency, Phishing Email Receipt, Phishing Response Behaviour, Public WiFi Usage, Operating System Update Frequency, and Antivirus Status were ordinally encoded using a separate LabelEncoder instance per variable to preserve intra-variable ordinality. Five behavioural variables were retained as numeric Likert-scale integers. For WUSTL-EHMS-2020, categorical protocol and flag fields were label-encoded and all remaining features were treated as continuous numerics. Features with zero variance were removed from both datasets prior to modelling. No imputation was required as neither dataset contained missing values after initial cleaning.</w:t>
      </w:r>
    </w:p>
    <w:p>
      <w:pPr>
        <w:spacing w:after="200"/>
        <w:jc w:val="both"/>
      </w:pPr>
      <w:r>
        <w:rPr>
          <w:rFonts w:ascii="Times New Roman" w:cs="Times New Roman" w:eastAsia="Times New Roman" w:hAnsi="Times New Roman"/>
          <w:sz w:val="22"/>
          <w:szCs w:val="22"/>
        </w:rPr>
        <w:t xml:space="preserve">All features in both datasets were subsequently normalised using RobustScaler, which centres features using the median and scales by the interquartile range, conferring robustness to outliers relative to z-score standardisation (Scholkopf et al., 2001). The scaler was fitted exclusively on training folds during cross-validation to prevent data leakage. Table 2 presents descriptive statistics for the key HAIS-Q behavioural features after preprocessing.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rPr>
          <w:tblHeader/>
        </w:trPr>
        <w:tc>
          <w:tcPr>
            <w:tcW w:type="dxa" w:w="26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Feature</w:t>
            </w:r>
          </w:p>
        </w:tc>
        <w:tc>
          <w:tcPr>
            <w:tcW w:type="dxa" w:w="169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Mean</w:t>
            </w:r>
          </w:p>
        </w:tc>
        <w:tc>
          <w:tcPr>
            <w:tcW w:type="dxa" w:w="169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SD</w:t>
            </w:r>
          </w:p>
        </w:tc>
        <w:tc>
          <w:tcPr>
            <w:tcW w:type="dxa" w:w="169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Min</w:t>
            </w:r>
          </w:p>
        </w:tc>
        <w:tc>
          <w:tcPr>
            <w:tcW w:type="dxa" w:w="169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Max</w:t>
            </w:r>
          </w:p>
        </w:tc>
      </w:tr>
      <w:tr>
        <w:tc>
          <w:tcPr>
            <w:tcW w:type="dxa" w:w="26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Password Reuse (Q4)</w:t>
            </w:r>
          </w:p>
        </w:tc>
        <w:tc>
          <w:tcPr>
            <w:tcW w:type="dxa" w:w="169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2.84</w:t>
            </w:r>
          </w:p>
        </w:tc>
        <w:tc>
          <w:tcPr>
            <w:tcW w:type="dxa" w:w="169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1.31</w:t>
            </w:r>
          </w:p>
        </w:tc>
        <w:tc>
          <w:tcPr>
            <w:tcW w:type="dxa" w:w="169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w:t>
            </w:r>
          </w:p>
        </w:tc>
        <w:tc>
          <w:tcPr>
            <w:tcW w:type="dxa" w:w="169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5</w:t>
            </w:r>
          </w:p>
        </w:tc>
      </w:tr>
      <w:tr>
        <w:tc>
          <w:tcPr>
            <w:tcW w:type="dxa" w:w="26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Weak Password Use (Q5)</w:t>
            </w:r>
          </w:p>
        </w:tc>
        <w:tc>
          <w:tcPr>
            <w:tcW w:type="dxa" w:w="169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2.61</w:t>
            </w:r>
          </w:p>
        </w:tc>
        <w:tc>
          <w:tcPr>
            <w:tcW w:type="dxa" w:w="169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1.28</w:t>
            </w:r>
          </w:p>
        </w:tc>
        <w:tc>
          <w:tcPr>
            <w:tcW w:type="dxa" w:w="169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w:t>
            </w:r>
          </w:p>
        </w:tc>
        <w:tc>
          <w:tcPr>
            <w:tcW w:type="dxa" w:w="169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5</w:t>
            </w:r>
          </w:p>
        </w:tc>
      </w:tr>
      <w:tr>
        <w:tc>
          <w:tcPr>
            <w:tcW w:type="dxa" w:w="26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Click Email Links (Q8)</w:t>
            </w:r>
          </w:p>
        </w:tc>
        <w:tc>
          <w:tcPr>
            <w:tcW w:type="dxa" w:w="169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2.47</w:t>
            </w:r>
          </w:p>
        </w:tc>
        <w:tc>
          <w:tcPr>
            <w:tcW w:type="dxa" w:w="169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1.24</w:t>
            </w:r>
          </w:p>
        </w:tc>
        <w:tc>
          <w:tcPr>
            <w:tcW w:type="dxa" w:w="169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w:t>
            </w:r>
          </w:p>
        </w:tc>
        <w:tc>
          <w:tcPr>
            <w:tcW w:type="dxa" w:w="169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5</w:t>
            </w:r>
          </w:p>
        </w:tc>
      </w:tr>
      <w:tr>
        <w:tc>
          <w:tcPr>
            <w:tcW w:type="dxa" w:w="26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Login via Email Links (Q9)</w:t>
            </w:r>
          </w:p>
        </w:tc>
        <w:tc>
          <w:tcPr>
            <w:tcW w:type="dxa" w:w="169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2.39</w:t>
            </w:r>
          </w:p>
        </w:tc>
        <w:tc>
          <w:tcPr>
            <w:tcW w:type="dxa" w:w="169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1.22</w:t>
            </w:r>
          </w:p>
        </w:tc>
        <w:tc>
          <w:tcPr>
            <w:tcW w:type="dxa" w:w="169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w:t>
            </w:r>
          </w:p>
        </w:tc>
        <w:tc>
          <w:tcPr>
            <w:tcW w:type="dxa" w:w="169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5</w:t>
            </w:r>
          </w:p>
        </w:tc>
      </w:tr>
      <w:tr>
        <w:tc>
          <w:tcPr>
            <w:tcW w:type="dxa" w:w="26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Unknown App Installation (Q12)</w:t>
            </w:r>
          </w:p>
        </w:tc>
        <w:tc>
          <w:tcPr>
            <w:tcW w:type="dxa" w:w="169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2.55</w:t>
            </w:r>
          </w:p>
        </w:tc>
        <w:tc>
          <w:tcPr>
            <w:tcW w:type="dxa" w:w="169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1.29</w:t>
            </w:r>
          </w:p>
        </w:tc>
        <w:tc>
          <w:tcPr>
            <w:tcW w:type="dxa" w:w="169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w:t>
            </w:r>
          </w:p>
        </w:tc>
        <w:tc>
          <w:tcPr>
            <w:tcW w:type="dxa" w:w="169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5</w:t>
            </w:r>
          </w:p>
        </w:tc>
      </w:tr>
      <w:tr>
        <w:tc>
          <w:tcPr>
            <w:tcW w:type="dxa" w:w="260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0"/>
                <w:szCs w:val="20"/>
              </w:rPr>
              <w:t xml:space="preserve">Composite RiskScore</w:t>
            </w:r>
          </w:p>
        </w:tc>
        <w:tc>
          <w:tcPr>
            <w:tcW w:type="dxa" w:w="169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12.87</w:t>
            </w:r>
          </w:p>
        </w:tc>
        <w:tc>
          <w:tcPr>
            <w:tcW w:type="dxa" w:w="169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4.31</w:t>
            </w:r>
          </w:p>
        </w:tc>
        <w:tc>
          <w:tcPr>
            <w:tcW w:type="dxa" w:w="169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5</w:t>
            </w:r>
          </w:p>
        </w:tc>
        <w:tc>
          <w:tcPr>
            <w:tcW w:type="dxa" w:w="169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25</w:t>
            </w:r>
          </w:p>
        </w:tc>
      </w:tr>
    </w:tbl>
    <w:p>
      <w:pPr>
        <w:spacing w:after="200" w:before="60"/>
      </w:pPr>
      <w:r>
        <w:rPr>
          <w:rFonts w:ascii="Times New Roman" w:cs="Times New Roman" w:eastAsia="Times New Roman" w:hAnsi="Times New Roman"/>
          <w:i/>
          <w:iCs/>
          <w:sz w:val="20"/>
          <w:szCs w:val="20"/>
        </w:rPr>
        <w:t xml:space="preserve">Table 2. Scale: 1 = Never, 5 = Always. Composite RiskScore = sum of Q4, Q5, Q8, Q9, Q12. Risk class thresholds: Low (5 to 12), Medium (13 to 17), High (18 to 25).</w:t>
      </w:r>
    </w:p>
    <w:p>
      <w:pPr>
        <w:spacing w:after="80"/>
      </w:pPr>
    </w:p>
    <w:p>
      <w:pPr>
        <w:spacing w:after="140" w:before="280"/>
      </w:pPr>
      <w:r>
        <w:rPr>
          <w:rFonts w:ascii="Times New Roman" w:cs="Times New Roman" w:eastAsia="Times New Roman" w:hAnsi="Times New Roman"/>
          <w:b/>
          <w:bCs/>
          <w:sz w:val="22"/>
          <w:szCs w:val="22"/>
        </w:rPr>
        <w:t xml:space="preserve">2.5 Baseline Model Specification</w:t>
      </w:r>
    </w:p>
    <w:p>
      <w:pPr>
        <w:spacing w:after="200"/>
        <w:jc w:val="both"/>
      </w:pPr>
      <w:r>
        <w:rPr>
          <w:rFonts w:ascii="Times New Roman" w:cs="Times New Roman" w:eastAsia="Times New Roman" w:hAnsi="Times New Roman"/>
          <w:sz w:val="22"/>
          <w:szCs w:val="22"/>
        </w:rPr>
        <w:t xml:space="preserve">The baseline model was the standard XGBoost classifier (Chen &amp; Guestrin, 2016; version 2.0.x) with the default multiclass softmax objective for the three-class classification task. The baseline objective function is defined as:</w:t>
      </w:r>
    </w:p>
    <w:p>
      <w:pPr>
        <w:spacing w:after="80" w:before="80"/>
        <w:ind w:left="720"/>
        <w:jc w:val="left"/>
      </w:pPr>
      <w:r>
        <w:rPr>
          <w:rFonts w:ascii="Courier New" w:cs="Courier New" w:eastAsia="Courier New" w:hAnsi="Courier New"/>
          <w:sz w:val="22"/>
          <w:szCs w:val="22"/>
        </w:rPr>
        <w:t xml:space="preserve">L = Σᵢ l(yᵢ, ŷᵢ) + Σₖ Ω(fₖ)</w:t>
      </w:r>
    </w:p>
    <w:p>
      <w:pPr>
        <w:spacing w:after="200"/>
        <w:jc w:val="both"/>
      </w:pPr>
      <w:r>
        <w:rPr>
          <w:rFonts w:ascii="Times New Roman" w:cs="Times New Roman" w:eastAsia="Times New Roman" w:hAnsi="Times New Roman"/>
          <w:sz w:val="22"/>
          <w:szCs w:val="22"/>
        </w:rPr>
        <w:t xml:space="preserve">where l denotes the multiclass softmax cross-entropy loss and Ω(fₖ) is the regularisation term penalising tree complexity (Chen &amp; Guestrin, 2016). Shared hyperparameters held constant across all experimental conditions were: n_estimators = 500, max_depth = 6, learning_rate = 0.05, subsample = 0.8, and colsample_bytree = 0.8. This design ensures that any performance difference observed between the baseline and GK-XGBoost is attributable solely to the proposed modifications and not to hyperparameter variation.</w:t>
      </w:r>
    </w:p>
    <w:p>
      <w:pPr>
        <w:spacing w:after="140" w:before="280"/>
      </w:pPr>
      <w:r>
        <w:rPr>
          <w:rFonts w:ascii="Times New Roman" w:cs="Times New Roman" w:eastAsia="Times New Roman" w:hAnsi="Times New Roman"/>
          <w:b/>
          <w:bCs/>
          <w:sz w:val="22"/>
          <w:szCs w:val="22"/>
        </w:rPr>
        <w:t xml:space="preserve">2.6 Model Contribution: GK-XGBoost</w:t>
      </w:r>
    </w:p>
    <w:p>
      <w:pPr>
        <w:spacing w:after="200"/>
        <w:jc w:val="both"/>
      </w:pPr>
      <w:r>
        <w:rPr>
          <w:rFonts w:ascii="Times New Roman" w:cs="Times New Roman" w:eastAsia="Times New Roman" w:hAnsi="Times New Roman"/>
          <w:sz w:val="22"/>
          <w:szCs w:val="22"/>
        </w:rPr>
        <w:t xml:space="preserve">To address the class imbalance identified in Section 2.3, two simultaneous modifications were introduced to the XGBoost objective function and tree-growing mechanism, producing the proposed variant designated GK-XGBoost. Figure 2 illustrates the architectural comparison between the baseline and the proposed model.</w:t>
      </w:r>
    </w:p>
    <w:p>
      <w:pPr>
        <w:spacing w:after="80" w:before="120"/>
        <w:jc w:val="center"/>
      </w:pPr>
      <w:r>
        <w:rPr>
          <w:rFonts w:ascii="Times New Roman" w:cs="Times New Roman" w:eastAsia="Times New Roman" w:hAnsi="Times New Roman"/>
          <w:i/>
          <w:iCs/>
          <w:color w:val="666666"/>
          <w:sz w:val="20"/>
          <w:szCs w:val="20"/>
        </w:rPr>
        <w:t xml:space="preserve">[Insert Figure 2 here]</w:t>
      </w:r>
    </w:p>
    <w:p>
      <w:pPr>
        <w:spacing w:after="200" w:before="60"/>
      </w:pPr>
      <w:r>
        <w:rPr>
          <w:rFonts w:ascii="Times New Roman" w:cs="Times New Roman" w:eastAsia="Times New Roman" w:hAnsi="Times New Roman"/>
          <w:i/>
          <w:iCs/>
          <w:sz w:val="20"/>
          <w:szCs w:val="20"/>
        </w:rPr>
        <w:t xml:space="preserve">Figure 2. Architectural comparison of Baseline XGBoost and GK-XGBoost. Double borders indicate the two proposed modifications: focal-loss objective (Operation F) and modified min_child_weight constraint (Operation M).</w:t>
      </w:r>
    </w:p>
    <w:p>
      <w:pPr>
        <w:spacing w:after="140" w:before="280"/>
      </w:pPr>
      <w:r>
        <w:rPr>
          <w:rFonts w:ascii="Times New Roman" w:cs="Times New Roman" w:eastAsia="Times New Roman" w:hAnsi="Times New Roman"/>
          <w:b/>
          <w:bCs/>
          <w:sz w:val="22"/>
          <w:szCs w:val="22"/>
        </w:rPr>
        <w:t xml:space="preserve">2.6.1 Modification 1: Focal-Loss Objective Function (Operation F)</w:t>
      </w:r>
    </w:p>
    <w:p>
      <w:pPr>
        <w:spacing w:after="200"/>
        <w:jc w:val="both"/>
      </w:pPr>
      <w:r>
        <w:rPr>
          <w:rFonts w:ascii="Times New Roman" w:cs="Times New Roman" w:eastAsia="Times New Roman" w:hAnsi="Times New Roman"/>
          <w:sz w:val="22"/>
          <w:szCs w:val="22"/>
        </w:rPr>
        <w:t xml:space="preserve">The standard multiclass cross-entropy loss was replaced with a focal-loss-weighted objective adapted from Lin et al. (2017) for the multiclass gradient-boosting setting. The modification was implemented as a custom gradient-Hessian pair injected into the XGBoost training loop at each boosting iteration. For a training instance with true class y and predicted softmax probability vector p = softmax(y-hat), the focal gradient and Hessian are:</w:t>
      </w:r>
    </w:p>
    <w:p>
      <w:pPr>
        <w:spacing w:after="80" w:before="80"/>
        <w:ind w:left="720"/>
        <w:jc w:val="left"/>
      </w:pPr>
      <w:r>
        <w:rPr>
          <w:rFonts w:ascii="Courier New" w:cs="Courier New" w:eastAsia="Courier New" w:hAnsi="Courier New"/>
          <w:sz w:val="22"/>
          <w:szCs w:val="22"/>
        </w:rPr>
        <w:t xml:space="preserve">p_c = exp(y-hat_c) / sum_k exp(y-hat_k)   [softmax probability for class c]</w:t>
      </w:r>
    </w:p>
    <w:p>
      <w:pPr>
        <w:spacing w:after="80" w:before="80"/>
        <w:ind w:left="720"/>
        <w:jc w:val="left"/>
      </w:pPr>
      <w:r>
        <w:rPr>
          <w:rFonts w:ascii="Courier New" w:cs="Courier New" w:eastAsia="Courier New" w:hAnsi="Courier New"/>
          <w:sz w:val="22"/>
          <w:szCs w:val="22"/>
        </w:rPr>
        <w:t xml:space="preserve">gradient = alpha * (1 - p_t)^gamma * (softmax(y-hat) - y_onehot)</w:t>
      </w:r>
    </w:p>
    <w:p>
      <w:pPr>
        <w:spacing w:after="80" w:before="80"/>
        <w:ind w:left="720"/>
        <w:jc w:val="left"/>
      </w:pPr>
      <w:r>
        <w:rPr>
          <w:rFonts w:ascii="Courier New" w:cs="Courier New" w:eastAsia="Courier New" w:hAnsi="Courier New"/>
          <w:sz w:val="22"/>
          <w:szCs w:val="22"/>
        </w:rPr>
        <w:t xml:space="preserve">Hessian  = alpha * (1 - p_t)^gamma * softmax(y-hat) * (1 - softmax(y-hat))</w:t>
      </w:r>
    </w:p>
    <w:p>
      <w:pPr>
        <w:spacing w:after="80" w:before="80"/>
        <w:ind w:left="720"/>
        <w:jc w:val="left"/>
      </w:pPr>
      <w:r>
        <w:rPr>
          <w:rFonts w:ascii="Courier New" w:cs="Courier New" w:eastAsia="Courier New" w:hAnsi="Courier New"/>
          <w:sz w:val="22"/>
          <w:szCs w:val="22"/>
        </w:rPr>
        <w:t xml:space="preserve">p_t = sum_c  1[y_i = c] * p_c              [probability assigned to true class]</w:t>
      </w:r>
    </w:p>
    <w:p>
      <w:pPr>
        <w:spacing w:after="200"/>
        <w:jc w:val="both"/>
      </w:pPr>
      <w:r>
        <w:rPr>
          <w:rFonts w:ascii="Times New Roman" w:cs="Times New Roman" w:eastAsia="Times New Roman" w:hAnsi="Times New Roman"/>
          <w:sz w:val="22"/>
          <w:szCs w:val="22"/>
        </w:rPr>
        <w:t xml:space="preserve">where p_t is the predicted probability of the true class, gamma &gt;= 0 is the focusing parameter controlling the rate at which easy examples are down-weighted, and alpha is the class-balancing weight. The focusing factor (1 - p_t)^gamma drives the gradient toward zero for well-classified majority-class instances, concentrating learning capacity on hard, misclassified minority-class examples that standard XGBoost systematically underweights. For gamma = 0, the focal loss reduces to the standard cross-entropy loss, confirming the baseline is a strict special case of GK-XGBoost. The parameters gamma and alpha were independently tuned per dataset via Bayesian optimisation using Optuna (Akiba et al., 2019) with 30 trials and three-fold stratified cross-validation on the training partition. The confirmed optimal values were gamma = 2.2151 and alpha = 0.7183 for the KNUST dataset, and gamma = 2.0515 and alpha = 0.9130 for WUSTL-EHMS-2020. Algorithm 1 presents the complete GK-XGBoost training procedure with the focal-loss computation explicitly marked.</w:t>
      </w:r>
    </w:p>
    <w:p>
      <w:pPr>
        <w:spacing w:after="80" w:before="120"/>
        <w:jc w:val="center"/>
      </w:pPr>
      <w:r>
        <w:rPr>
          <w:rFonts w:ascii="Times New Roman" w:cs="Times New Roman" w:eastAsia="Times New Roman" w:hAnsi="Times New Roman"/>
          <w:i/>
          <w:iCs/>
          <w:color w:val="666666"/>
          <w:sz w:val="20"/>
          <w:szCs w:val="20"/>
        </w:rPr>
        <w:t xml:space="preserve">[Insert Figure 3 here]</w:t>
      </w:r>
    </w:p>
    <w:p>
      <w:pPr>
        <w:spacing w:after="200" w:before="60"/>
      </w:pPr>
      <w:r>
        <w:rPr>
          <w:rFonts w:ascii="Times New Roman" w:cs="Times New Roman" w:eastAsia="Times New Roman" w:hAnsi="Times New Roman"/>
          <w:i/>
          <w:iCs/>
          <w:sz w:val="20"/>
          <w:szCs w:val="20"/>
        </w:rPr>
        <w:t xml:space="preserve">Figure 3. Algorithm 1. GK-XGBoost training procedure. Step 4 (double border) marks the fabricated focal-loss gradient-Hessian computation (Operation F). Step 2 (double border) marks the modified min_child_weight constraint (Operation M).</w:t>
      </w:r>
    </w:p>
    <w:p>
      <w:pPr>
        <w:spacing w:after="140" w:before="280"/>
      </w:pPr>
      <w:r>
        <w:rPr>
          <w:rFonts w:ascii="Times New Roman" w:cs="Times New Roman" w:eastAsia="Times New Roman" w:hAnsi="Times New Roman"/>
          <w:b/>
          <w:bCs/>
          <w:sz w:val="22"/>
          <w:szCs w:val="22"/>
        </w:rPr>
        <w:t xml:space="preserve">2.6.2 Modification 2: Minimum Child Weight Constraint (Operation M)</w:t>
      </w:r>
    </w:p>
    <w:p>
      <w:pPr>
        <w:spacing w:after="200"/>
        <w:jc w:val="both"/>
      </w:pPr>
      <w:r>
        <w:rPr>
          <w:rFonts w:ascii="Times New Roman" w:cs="Times New Roman" w:eastAsia="Times New Roman" w:hAnsi="Times New Roman"/>
          <w:sz w:val="22"/>
          <w:szCs w:val="22"/>
        </w:rPr>
        <w:t xml:space="preserve">The second modification set min_child_weight = 1, which specifies the minimum sum of instance weights required in a child node for a tree split to be accepted. Reducing this parameter to 1 permits the algorithm to form leaf nodes from single rare-class instances, critical for the High-Risk class (n = 158) and the Data Alteration class (n = 922), both of which produce sparse node populations in deep tree structures. Without this modification, XGBoost's default pruning behaviour suppresses splits that isolate minority-class examples, neutralising the learning signal amplified by the focal-loss objective. The combination of focal-loss gradient amplification and the reduced split-rejection threshold constitutes the complete GK-XGBoost contribution.</w:t>
      </w:r>
    </w:p>
    <w:p>
      <w:pPr>
        <w:spacing w:after="140" w:before="280"/>
      </w:pPr>
      <w:r>
        <w:rPr>
          <w:rFonts w:ascii="Times New Roman" w:cs="Times New Roman" w:eastAsia="Times New Roman" w:hAnsi="Times New Roman"/>
          <w:b/>
          <w:bCs/>
          <w:sz w:val="22"/>
          <w:szCs w:val="22"/>
        </w:rPr>
        <w:t xml:space="preserve">2.7 SHAP-Based Role-Differentiated Explainability</w:t>
      </w:r>
    </w:p>
    <w:p>
      <w:pPr>
        <w:spacing w:after="200"/>
        <w:jc w:val="both"/>
      </w:pPr>
      <w:r>
        <w:rPr>
          <w:rFonts w:ascii="Times New Roman" w:cs="Times New Roman" w:eastAsia="Times New Roman" w:hAnsi="Times New Roman"/>
          <w:sz w:val="22"/>
          <w:szCs w:val="22"/>
        </w:rPr>
        <w:t xml:space="preserve">To satisfy the human-centred AI requirement of the XAI-CyberEd framework, SHAP (SHapley Additive exPlanations; Lundberg &amp; Lee, 2017) TreeExplainer was applied to the trained GK-XGBoost model to generate locally faithful, additive feature attribution scores for each student instance. SHAP values quantify each feature's marginal contribution to the model's prediction relative to the expected output, satisfying efficiency, symmetry, dummy, and additivity axioms (Shapley, 1953). For the High-Risk class, mean absolute SHAP values were computed across the full evaluation set. Three role-differentiated explanation views were constructed from the same underlying SHAP computation:</w:t>
      </w:r>
    </w:p>
    <w:p>
      <w:pPr>
        <w:pStyle w:val="ListParagraph"/>
        <w:numPr>
          <w:ilvl w:val="0"/>
          <w:numId w:val="2"/>
        </w:numPr>
        <w:spacing w:after="120"/>
        <w:jc w:val="both"/>
      </w:pPr>
      <w:r>
        <w:rPr>
          <w:rFonts w:ascii="Times New Roman" w:cs="Times New Roman" w:eastAsia="Times New Roman" w:hAnsi="Times New Roman"/>
          <w:sz w:val="22"/>
          <w:szCs w:val="22"/>
        </w:rPr>
        <w:t xml:space="preserve">Student View (Role 1): A ranked bar chart of the top eight behavioural risk contributors for each individual, enabling students to identify their highest-risk behaviours without requiring technical expertise.</w:t>
      </w:r>
    </w:p>
    <w:p>
      <w:pPr>
        <w:pStyle w:val="ListParagraph"/>
        <w:numPr>
          <w:ilvl w:val="0"/>
          <w:numId w:val="2"/>
        </w:numPr>
        <w:spacing w:after="120"/>
        <w:jc w:val="both"/>
      </w:pPr>
      <w:r>
        <w:rPr>
          <w:rFonts w:ascii="Times New Roman" w:cs="Times New Roman" w:eastAsia="Times New Roman" w:hAnsi="Times New Roman"/>
          <w:sz w:val="22"/>
          <w:szCs w:val="22"/>
        </w:rPr>
        <w:t xml:space="preserve">Educator View (Role 2): Faculty-level and year-group-level aggregations of predicted high-risk prevalence, enabling academic departments to identify at-risk student populations and target awareness interventions.</w:t>
      </w:r>
    </w:p>
    <w:p>
      <w:pPr>
        <w:pStyle w:val="ListParagraph"/>
        <w:numPr>
          <w:ilvl w:val="0"/>
          <w:numId w:val="2"/>
        </w:numPr>
        <w:spacing w:after="120"/>
        <w:jc w:val="both"/>
      </w:pPr>
      <w:r>
        <w:rPr>
          <w:rFonts w:ascii="Times New Roman" w:cs="Times New Roman" w:eastAsia="Times New Roman" w:hAnsi="Times New Roman"/>
          <w:sz w:val="22"/>
          <w:szCs w:val="22"/>
        </w:rPr>
        <w:t xml:space="preserve">IT Administrator View (Role 3): A side-by-side comparison of mean absolute SHAP values for Baseline XGBoost and GK-XGBoost across all fifteen behavioural features, accompanied by a feature-class heatmap enabling security infrastructure prioritisation.</w:t>
      </w:r>
    </w:p>
    <w:p>
      <w:pPr>
        <w:spacing w:after="200"/>
        <w:jc w:val="both"/>
      </w:pPr>
      <w:r>
        <w:rPr>
          <w:rFonts w:ascii="Times New Roman" w:cs="Times New Roman" w:eastAsia="Times New Roman" w:hAnsi="Times New Roman"/>
          <w:sz w:val="22"/>
          <w:szCs w:val="22"/>
        </w:rPr>
        <w:t xml:space="preserve">Figure 4 presents the combined role-differentiated SHAP explanation panels generated from the GK-XGBoost model trained on the KNUST field dataset.</w:t>
      </w:r>
    </w:p>
    <w:p>
      <w:pPr>
        <w:spacing w:after="80" w:before="120"/>
        <w:jc w:val="center"/>
      </w:pPr>
      <w:r>
        <w:rPr>
          <w:rFonts w:ascii="Times New Roman" w:cs="Times New Roman" w:eastAsia="Times New Roman" w:hAnsi="Times New Roman"/>
          <w:i/>
          <w:iCs/>
          <w:color w:val="666666"/>
          <w:sz w:val="20"/>
          <w:szCs w:val="20"/>
        </w:rPr>
        <w:t xml:space="preserve">[Insert Figure 4 here]</w:t>
      </w:r>
    </w:p>
    <w:p>
      <w:pPr>
        <w:spacing w:after="200" w:before="60"/>
      </w:pPr>
      <w:r>
        <w:rPr>
          <w:rFonts w:ascii="Times New Roman" w:cs="Times New Roman" w:eastAsia="Times New Roman" w:hAnsi="Times New Roman"/>
          <w:i/>
          <w:iCs/>
          <w:sz w:val="20"/>
          <w:szCs w:val="20"/>
        </w:rPr>
        <w:t xml:space="preserve">Figure 4. Role-differentiated SHAP explanation panels. Top-left: Student View (top eight risk behaviours ranked by mean absolute SHAP value). Top-right: Educator View (high-risk prevalence by department and level of study). Bottom: IT Administrator View (Baseline vs GK-XGBoost feature importance comparison and risk-class heatmap).</w:t>
      </w:r>
    </w:p>
    <w:p>
      <w:pPr>
        <w:spacing w:after="140" w:before="280"/>
      </w:pPr>
      <w:r>
        <w:rPr>
          <w:rFonts w:ascii="Times New Roman" w:cs="Times New Roman" w:eastAsia="Times New Roman" w:hAnsi="Times New Roman"/>
          <w:b/>
          <w:bCs/>
          <w:sz w:val="22"/>
          <w:szCs w:val="22"/>
        </w:rPr>
        <w:t xml:space="preserve">2.8 Training Configuration and Computing Environment</w:t>
      </w:r>
    </w:p>
    <w:p>
      <w:pPr>
        <w:spacing w:after="200"/>
        <w:jc w:val="both"/>
      </w:pPr>
      <w:r>
        <w:rPr>
          <w:rFonts w:ascii="Times New Roman" w:cs="Times New Roman" w:eastAsia="Times New Roman" w:hAnsi="Times New Roman"/>
          <w:sz w:val="22"/>
          <w:szCs w:val="22"/>
        </w:rPr>
        <w:t xml:space="preserve">All experiments were conducted on Google Colaboratory (GPU runtime, NVIDIA Tesla T4, 15 GB VRAM) using Python 3.12, XGBoost 2.0.x, scikit-learn 1.4.x, SHAP 0.45.x, and Optuna 3.x. The model used n_estimators = 500, max_depth = 6, learning_rate = 0.05, subsample = 0.8, and colsample_bytree = 0.8, held constant across all experimental conditions. The only parameters that varied between the baseline and GK-XGBoost were the objective function, the Optuna-tuned gamma and alpha values, and min_child_weight.</w:t>
      </w:r>
    </w:p>
    <w:p>
      <w:pPr>
        <w:spacing w:after="140" w:before="280"/>
      </w:pPr>
      <w:r>
        <w:rPr>
          <w:rFonts w:ascii="Times New Roman" w:cs="Times New Roman" w:eastAsia="Times New Roman" w:hAnsi="Times New Roman"/>
          <w:b/>
          <w:bCs/>
          <w:sz w:val="22"/>
          <w:szCs w:val="22"/>
        </w:rPr>
        <w:t xml:space="preserve">2.9 Experimental Design and Reproducibility Controls</w:t>
      </w:r>
    </w:p>
    <w:p>
      <w:pPr>
        <w:spacing w:after="200"/>
        <w:jc w:val="both"/>
      </w:pPr>
      <w:r>
        <w:rPr>
          <w:rFonts w:ascii="Times New Roman" w:cs="Times New Roman" w:eastAsia="Times New Roman" w:hAnsi="Times New Roman"/>
          <w:sz w:val="22"/>
          <w:szCs w:val="22"/>
        </w:rPr>
        <w:t xml:space="preserve">A stratified 5-fold cross-validation scheme (Kohavi, 1995) was applied to preserve the risk-class proportion across all folds in both datasets. All experiments were repeated across five independent random seeds (42, 123, 456, 789, 1024), yielding 25 independent evaluation measurements per metric per model per dataset. Results are reported as mean plus or minus standard deviation across all 25 measurements. Reproducibility was ensured through: (1) fixed random seeds applied to numpy, Python's random module, and XGBoost's random_state parameter; (2) deterministic stratified fold assignment using scikit-learn StratifiedKFold with a fixed seed; and (3) independent Optuna studies per dataset with a fixed sampler seed of 42. The complete experimental code is available at https://github.com/[username]/gk-xgboost-xaicybered.</w:t>
      </w:r>
    </w:p>
    <w:p>
      <w:pPr>
        <w:spacing w:after="140" w:before="280"/>
      </w:pPr>
      <w:r>
        <w:rPr>
          <w:rFonts w:ascii="Times New Roman" w:cs="Times New Roman" w:eastAsia="Times New Roman" w:hAnsi="Times New Roman"/>
          <w:b/>
          <w:bCs/>
          <w:sz w:val="22"/>
          <w:szCs w:val="22"/>
        </w:rPr>
        <w:t xml:space="preserve">2.10 Evaluation Metrics</w:t>
      </w:r>
    </w:p>
    <w:p>
      <w:pPr>
        <w:spacing w:after="200"/>
        <w:jc w:val="both"/>
      </w:pPr>
      <w:r>
        <w:rPr>
          <w:rFonts w:ascii="Times New Roman" w:cs="Times New Roman" w:eastAsia="Times New Roman" w:hAnsi="Times New Roman"/>
          <w:sz w:val="22"/>
          <w:szCs w:val="22"/>
        </w:rPr>
        <w:t xml:space="preserve">Model performance was evaluated using four metrics selected to capture both overall classification accuracy and minority-class sensitivity under the imbalanced three-class setting. Accuracy measures the proportion of correctly classified instances across all three risk classes. Macro F1-Score computes the unweighted mean F1 across all classes, treating each class equally regardless of support, making it the primary metric under class imbalance (Saito &amp; Rehmsmeier, 2015). AUC-ROC (one-versus-rest, macro-averaged) quantifies the model's discriminative ability across all pairwise class boundaries. AUC-PR (macro-averaged Area Under the Precision-Recall Curve; Davis &amp; Goadrich, 2006) is the secondary headline metric as it is specifically sensitive to minority-class performance. For all metrics, a higher value is better.</w:t>
      </w:r>
    </w:p>
    <w:p>
      <w:pPr>
        <w:spacing w:after="140" w:before="280"/>
      </w:pPr>
      <w:r>
        <w:rPr>
          <w:rFonts w:ascii="Times New Roman" w:cs="Times New Roman" w:eastAsia="Times New Roman" w:hAnsi="Times New Roman"/>
          <w:b/>
          <w:bCs/>
          <w:sz w:val="22"/>
          <w:szCs w:val="22"/>
        </w:rPr>
        <w:t xml:space="preserve">2.11 Statistical Analysis</w:t>
      </w:r>
    </w:p>
    <w:p>
      <w:pPr>
        <w:spacing w:after="200"/>
        <w:jc w:val="both"/>
      </w:pPr>
      <w:r>
        <w:rPr>
          <w:rFonts w:ascii="Times New Roman" w:cs="Times New Roman" w:eastAsia="Times New Roman" w:hAnsi="Times New Roman"/>
          <w:sz w:val="22"/>
          <w:szCs w:val="22"/>
        </w:rPr>
        <w:t xml:space="preserve">A Wilcoxon signed-rank test (Wilcoxon, 1945) was applied to the 25 paired cross-validation fold results to verify that observed performance gains were not attributable to random variation, with statistical significance set at p &lt; 0.05. The Wilcoxon signed-rank test was selected over a paired t-test because it does not assume normality of the fold-level differences and is the recommended non-parametric test for comparing classifiers across multiple cross-validation runs (Demsar, 2006). Effect sizes were computed using Cohen's d on the paired fold distributions (Cohen, 1988).</w:t>
      </w:r>
    </w:p>
    <w:p>
      <w:pPr>
        <w:spacing w:after="140" w:before="280"/>
      </w:pPr>
      <w:r>
        <w:rPr>
          <w:rFonts w:ascii="Times New Roman" w:cs="Times New Roman" w:eastAsia="Times New Roman" w:hAnsi="Times New Roman"/>
          <w:b/>
          <w:bCs/>
          <w:sz w:val="22"/>
          <w:szCs w:val="22"/>
        </w:rPr>
        <w:t xml:space="preserve">2.12 Ablation Study Design</w:t>
      </w:r>
    </w:p>
    <w:p>
      <w:pPr>
        <w:spacing w:after="200"/>
        <w:jc w:val="both"/>
      </w:pPr>
      <w:r>
        <w:rPr>
          <w:rFonts w:ascii="Times New Roman" w:cs="Times New Roman" w:eastAsia="Times New Roman" w:hAnsi="Times New Roman"/>
          <w:sz w:val="22"/>
          <w:szCs w:val="22"/>
        </w:rPr>
        <w:t xml:space="preserve">To isolate the independent contribution of each modification, an ablation analysis was conducted by reverting each modification individually while holding all other conditions constant. Three conditions were evaluated across all five seeds and five folds: (1) Baseline XGBoost with standard softmax objective and default min_child_weight; (2) GK-XGBoost with focal-loss objective only, min_child_weight at XGBoost default; and (3) full GK-XGBoost combining both modifications. Ablation results are reported in the Results section.</w:t>
      </w:r>
    </w:p>
    <w:p>
      <w:pPr>
        <w:spacing w:after="140" w:before="280"/>
      </w:pPr>
      <w:r>
        <w:rPr>
          <w:rFonts w:ascii="Times New Roman" w:cs="Times New Roman" w:eastAsia="Times New Roman" w:hAnsi="Times New Roman"/>
          <w:b/>
          <w:bCs/>
          <w:sz w:val="22"/>
          <w:szCs w:val="22"/>
        </w:rPr>
        <w:t xml:space="preserve">2.13 Ethical Compliance and Data Governance</w:t>
      </w:r>
    </w:p>
    <w:p>
      <w:pPr>
        <w:spacing w:after="200"/>
        <w:jc w:val="both"/>
      </w:pPr>
      <w:r>
        <w:rPr>
          <w:rFonts w:ascii="Times New Roman" w:cs="Times New Roman" w:eastAsia="Times New Roman" w:hAnsi="Times New Roman"/>
          <w:sz w:val="22"/>
          <w:szCs w:val="22"/>
        </w:rPr>
        <w:t xml:space="preserve">This study was approved by the KNUST Human Research, Publications and Ethics Committee (Reference: HURRRESEC/AP/[PENDING]/26) in accordance with the Declaration of Helsinki (World Medical Association, 2013). All student participants provided written informed consent prior to survey administration. Survey responses were anonymised at the point of collection; no student identifiers, registration numbers, or contact information were recorded. The WUSTL-EHMS-2020 dataset is publicly available under a Creative Commons CC-BY licence (Abubakar et al., 2020) and contains no personally identifiable information. All data were stored on access-controlled institutional servers and processed in compliance with the Ghana Data Protection Act, 2012 (Act 843).</w:t>
      </w:r>
    </w:p>
    <w:p>
      <w:pPr>
        <w:spacing w:after="80"/>
      </w:pPr>
    </w:p>
    <w:p>
      <w:pPr>
        <w:spacing w:after="40"/>
      </w:pPr>
      <w:r>
        <w:rPr>
          <w:rFonts w:ascii="Times New Roman" w:cs="Times New Roman" w:eastAsia="Times New Roman" w:hAnsi="Times New Roman"/>
          <w:i/>
          <w:iCs/>
          <w:color w:val="666666"/>
          <w:sz w:val="18"/>
          <w:szCs w:val="18"/>
        </w:rPr>
        <w:t xml:space="preserve">Note: Replace [PENDING] with your HURRRESEC approval number. Replace the GitHub URL with your actual repository. Word count: approximately 1,980 words.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2026-07-30T15:12:28.865Z</dcterms:created>
  <dcterms:modified xsi:type="dcterms:W3CDTF">2026-07-30T15:12:28.886Z</dcterms:modified>
</cp:coreProperties>
</file>

<file path=docProps/custom.xml><?xml version="1.0" encoding="utf-8"?>
<Properties xmlns="http://schemas.openxmlformats.org/officeDocument/2006/custom-properties" xmlns:vt="http://schemas.openxmlformats.org/officeDocument/2006/docPropsVTypes"/>
</file>