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F2D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160"/>
              <w:jc w:val="left"/>
            </w:pPr>
            <w:r>
              <w:rPr>
                <w:rFonts w:ascii="Trebuchet MS" w:hAnsi="Trebuchet MS"/>
                <w:b/>
                <w:i w:val="0"/>
                <w:color w:val="F5B800"/>
                <w:sz w:val="44"/>
              </w:rPr>
              <w:t xml:space="preserve">  DIWA  —  Digital Interface Web Assistant</w:t>
            </w:r>
          </w:p>
          <w:p>
            <w:pPr>
              <w:spacing w:after="160"/>
              <w:jc w:val="left"/>
            </w:pPr>
            <w:r>
              <w:rPr>
                <w:rFonts w:ascii="Calibri" w:hAnsi="Calibri"/>
                <w:b w:val="0"/>
                <w:i/>
                <w:color w:val="A5D6A7"/>
                <w:sz w:val="18"/>
              </w:rPr>
              <w:t xml:space="preserve">  Executive One-Pager   ·   Prepared for John Xavier B. Nepomuceno   ·   May 2026</w:t>
            </w:r>
          </w:p>
        </w:tc>
      </w:tr>
    </w:tbl>
    <w:p>
      <w:pPr>
        <w:spacing w:before="0" w:after="160"/>
      </w:pP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1A5C2A"/>
          <w:sz w:val="28"/>
        </w:rPr>
        <w:t>DIWA is CvSU's own AI assistant — built in-house, at zero licensing cost — that answers student inquiries instantly, 24 hours a day.</w:t>
      </w:r>
    </w:p>
    <w:p>
      <w:pPr>
        <w:spacing w:before="0" w:after="120"/>
        <w:pBdr>
          <w:bottom w:val="single" w:sz="16" w:space="0" w:color="F5B80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A5C2A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160" w:after="0"/>
              <w:jc w:val="center"/>
            </w:pPr>
            <w:r>
              <w:rPr>
                <w:rFonts w:ascii="Trebuchet MS" w:hAnsi="Trebuchet MS"/>
                <w:b/>
                <w:i w:val="0"/>
                <w:color w:val="F5B800"/>
                <w:sz w:val="56"/>
              </w:rPr>
              <w:t>95.59%</w:t>
            </w:r>
          </w:p>
        </w:tc>
        <w:tc>
          <w:tcPr>
            <w:tcW w:type="dxa" w:w="3360"/>
            <w:shd w:val="clear" w:color="auto" w:fill="1A5C2A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160" w:after="0"/>
              <w:jc w:val="center"/>
            </w:pPr>
            <w:r>
              <w:rPr>
                <w:rFonts w:ascii="Trebuchet MS" w:hAnsi="Trebuchet MS"/>
                <w:b/>
                <w:i w:val="0"/>
                <w:color w:val="F5B800"/>
                <w:sz w:val="56"/>
              </w:rPr>
              <w:t>24 / 7</w:t>
            </w:r>
          </w:p>
        </w:tc>
        <w:tc>
          <w:tcPr>
            <w:tcW w:type="dxa" w:w="3360"/>
            <w:shd w:val="clear" w:color="auto" w:fill="1A5C2A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160" w:after="0"/>
              <w:jc w:val="center"/>
            </w:pPr>
            <w:r>
              <w:rPr>
                <w:rFonts w:ascii="Trebuchet MS" w:hAnsi="Trebuchet MS"/>
                <w:b/>
                <w:i w:val="0"/>
                <w:color w:val="F5B800"/>
                <w:sz w:val="56"/>
              </w:rPr>
              <w:t>₱0</w:t>
            </w:r>
          </w:p>
        </w:tc>
      </w:tr>
      <w:tr>
        <w:tc>
          <w:tcPr>
            <w:tcW w:type="dxa" w:w="3360"/>
            <w:shd w:val="clear" w:color="auto" w:fill="1A5C2A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0" w:after="1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Answer Accuracy</w:t>
            </w:r>
          </w:p>
        </w:tc>
        <w:tc>
          <w:tcPr>
            <w:tcW w:type="dxa" w:w="3360"/>
            <w:shd w:val="clear" w:color="auto" w:fill="1A5C2A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0" w:after="1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Always Available</w:t>
            </w:r>
          </w:p>
        </w:tc>
        <w:tc>
          <w:tcPr>
            <w:tcW w:type="dxa" w:w="3360"/>
            <w:shd w:val="clear" w:color="auto" w:fill="1A5C2A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0" w:after="1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Licensing Cost</w:t>
            </w:r>
          </w:p>
        </w:tc>
      </w:tr>
    </w:tbl>
    <w:p>
      <w:pPr>
        <w:spacing w:before="0" w:after="200"/>
      </w:pPr>
    </w:p>
    <w:p>
      <w:pPr>
        <w:spacing w:before="0" w:after="120"/>
        <w:pBdr>
          <w:bottom w:val="single" w:sz="6" w:space="0" w:color="1A5C2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0" w:after="60"/>
            </w:pPr>
            <w:r>
              <w:rPr>
                <w:rFonts w:ascii="Trebuchet MS" w:hAnsi="Trebuchet MS"/>
                <w:b/>
                <w:i w:val="0"/>
                <w:color w:val="1A5C2A"/>
                <w:sz w:val="18"/>
              </w:rPr>
              <w:t>THE CHALLENGE</w:t>
            </w:r>
          </w:p>
          <w:p>
            <w:pPr>
              <w:spacing w:before="0" w:after="200"/>
            </w:pPr>
            <w:r>
              <w:rPr>
                <w:rFonts w:ascii="Calibri" w:hAnsi="Calibri"/>
                <w:b w:val="0"/>
                <w:color w:val="444444"/>
                <w:sz w:val="21"/>
              </w:rPr>
              <w:t>Students struggle to get answers outside office hours. Staff spend valuable time on the same basic questions, day after day.</w:t>
            </w:r>
          </w:p>
          <w:p>
            <w:pPr>
              <w:spacing w:before="0" w:after="60"/>
            </w:pPr>
            <w:r>
              <w:rPr>
                <w:rFonts w:ascii="Trebuchet MS" w:hAnsi="Trebuchet MS"/>
                <w:b/>
                <w:i w:val="0"/>
                <w:color w:val="1A5C2A"/>
                <w:sz w:val="18"/>
              </w:rPr>
              <w:t>THE SOLUTION</w:t>
            </w:r>
          </w:p>
          <w:p>
            <w:pPr>
              <w:spacing w:before="0" w:after="200"/>
            </w:pPr>
            <w:r>
              <w:rPr>
                <w:rFonts w:ascii="Calibri" w:hAnsi="Calibri"/>
                <w:b w:val="0"/>
                <w:color w:val="444444"/>
                <w:sz w:val="21"/>
              </w:rPr>
              <w:t>DIWA handles these questions automatically — freeing staff for meaningful work and giving students answers at any hour.</w:t>
            </w:r>
          </w:p>
          <w:p>
            <w:pPr>
              <w:spacing w:before="0" w:after="60"/>
            </w:pPr>
            <w:r>
              <w:rPr>
                <w:rFonts w:ascii="Trebuchet MS" w:hAnsi="Trebuchet MS"/>
                <w:b/>
                <w:i w:val="0"/>
                <w:color w:val="1A5C2A"/>
                <w:sz w:val="18"/>
              </w:rPr>
              <w:t>THE BENEFIT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color w:val="444444"/>
                <w:sz w:val="21"/>
              </w:rPr>
              <w:t>Less staff burden. Better student experience. And real data on what students need — for the first time.</w:t>
            </w:r>
          </w:p>
        </w:tc>
        <w:tc>
          <w:tcPr>
            <w:tcW w:type="dxa" w:w="5184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0" w:after="60"/>
            </w:pPr>
            <w:r>
              <w:rPr>
                <w:rFonts w:ascii="Trebuchet MS" w:hAnsi="Trebuchet MS"/>
                <w:b/>
                <w:i w:val="0"/>
                <w:color w:val="1A5C2A"/>
                <w:sz w:val="18"/>
              </w:rPr>
              <w:t>CURRENT STATUS  —  PRODUCTION READY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color w:val="1A5C2A"/>
                <w:sz w:val="21"/>
              </w:rPr>
              <w:t xml:space="preserve">✓  </w:t>
            </w:r>
            <w:r>
              <w:rPr>
                <w:rFonts w:ascii="Calibri" w:hAnsi="Calibri"/>
                <w:color w:val="444444"/>
                <w:sz w:val="21"/>
              </w:rPr>
              <w:t>Answers student questions on 23 topics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color w:val="1A5C2A"/>
                <w:sz w:val="21"/>
              </w:rPr>
              <w:t xml:space="preserve">✓  </w:t>
            </w:r>
            <w:r>
              <w:rPr>
                <w:rFonts w:ascii="Calibri" w:hAnsi="Calibri"/>
                <w:color w:val="444444"/>
                <w:sz w:val="21"/>
              </w:rPr>
              <w:t>Available 24 hours a day, 7 days a week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color w:val="1A5C2A"/>
                <w:sz w:val="21"/>
              </w:rPr>
              <w:t xml:space="preserve">✓  </w:t>
            </w:r>
            <w:r>
              <w:rPr>
                <w:rFonts w:ascii="Calibri" w:hAnsi="Calibri"/>
                <w:color w:val="444444"/>
                <w:sz w:val="21"/>
              </w:rPr>
              <w:t>Works on any phone, tablet, or computer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color w:val="1A5C2A"/>
                <w:sz w:val="21"/>
              </w:rPr>
              <w:t xml:space="preserve">✓  </w:t>
            </w:r>
            <w:r>
              <w:rPr>
                <w:rFonts w:ascii="Calibri" w:hAnsi="Calibri"/>
                <w:color w:val="444444"/>
                <w:sz w:val="21"/>
              </w:rPr>
              <w:t>Logs every query for administrative review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color w:val="1A5C2A"/>
                <w:sz w:val="21"/>
              </w:rPr>
              <w:t xml:space="preserve">✓  </w:t>
            </w:r>
            <w:r>
              <w:rPr>
                <w:rFonts w:ascii="Calibri" w:hAnsi="Calibri"/>
                <w:color w:val="444444"/>
                <w:sz w:val="21"/>
              </w:rPr>
              <w:t>Fully documented — ready for IT handover</w:t>
            </w:r>
          </w:p>
          <w:p>
            <w:pPr>
              <w:spacing w:before="20" w:after="60"/>
            </w:pPr>
            <w:r>
              <w:rPr>
                <w:rFonts w:ascii="Calibri" w:hAnsi="Calibri"/>
                <w:b/>
                <w:color w:val="1A5C2A"/>
                <w:sz w:val="21"/>
              </w:rPr>
              <w:t xml:space="preserve">✓  </w:t>
            </w:r>
            <w:r>
              <w:rPr>
                <w:rFonts w:ascii="Calibri" w:hAnsi="Calibri"/>
                <w:color w:val="444444"/>
                <w:sz w:val="21"/>
              </w:rPr>
              <w:t>Deployable on university servers in minutes</w:t>
            </w:r>
          </w:p>
        </w:tc>
      </w:tr>
    </w:tbl>
    <w:p>
      <w:pPr>
        <w:spacing w:before="0" w:after="160"/>
      </w:pPr>
    </w:p>
    <w:p>
      <w:pPr>
        <w:spacing w:before="0" w:after="120"/>
        <w:pBdr>
          <w:bottom w:val="single" w:sz="12" w:space="0" w:color="F5B800"/>
        </w:pBdr>
      </w:pPr>
    </w:p>
    <w:p>
      <w:pPr>
        <w:spacing w:before="40" w:after="120"/>
      </w:pPr>
      <w:r>
        <w:rPr>
          <w:rFonts w:ascii="Trebuchet MS" w:hAnsi="Trebuchet MS"/>
          <w:b/>
          <w:i w:val="0"/>
          <w:color w:val="1A5C2A"/>
          <w:sz w:val="20"/>
        </w:rPr>
        <w:t>THREE THINGS WE NEED FROM YOUR OFFICE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shd w:val="clear" w:color="auto" w:fill="F0F7F0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120" w:after="40"/>
            </w:pPr>
            <w:r>
              <w:rPr>
                <w:rFonts w:ascii="Trebuchet MS" w:hAnsi="Trebuchet MS"/>
                <w:b/>
                <w:i w:val="0"/>
                <w:color w:val="1A5C2A"/>
                <w:sz w:val="21"/>
              </w:rPr>
              <w:t>1.  Approve deployment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Authorise DIWA to go live on the CvSU website and student portal.</w:t>
            </w:r>
          </w:p>
        </w:tc>
        <w:tc>
          <w:tcPr>
            <w:tcW w:type="dxa" w:w="3312"/>
            <w:shd w:val="clear" w:color="auto" w:fill="F0F7F0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120" w:after="40"/>
            </w:pPr>
            <w:r>
              <w:rPr>
                <w:rFonts w:ascii="Trebuchet MS" w:hAnsi="Trebuchet MS"/>
                <w:b/>
                <w:i w:val="0"/>
                <w:color w:val="1A5C2A"/>
                <w:sz w:val="21"/>
              </w:rPr>
              <w:t>2.  Assign an IT owner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Designate the IT unit responsible for operations and updates.</w:t>
            </w:r>
          </w:p>
        </w:tc>
        <w:tc>
          <w:tcPr>
            <w:tcW w:type="dxa" w:w="3744"/>
            <w:shd w:val="clear" w:color="auto" w:fill="F0F7F0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</w:tcPr>
          <w:p>
            <w:pPr>
              <w:spacing w:before="120" w:after="40"/>
            </w:pPr>
            <w:r>
              <w:rPr>
                <w:rFonts w:ascii="Trebuchet MS" w:hAnsi="Trebuchet MS"/>
                <w:b/>
                <w:i w:val="0"/>
                <w:color w:val="1A5C2A"/>
                <w:sz w:val="21"/>
              </w:rPr>
              <w:t>3.  Commission expansion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444444"/>
                <w:sz w:val="19"/>
              </w:rPr>
              <w:t>Fund coverage for all colleges, departments, and offices.</w:t>
            </w:r>
          </w:p>
        </w:tc>
      </w:tr>
    </w:tbl>
    <w:p>
      <w:pPr>
        <w:spacing w:before="0" w:after="160"/>
      </w:pP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888888"/>
          <w:sz w:val="16"/>
        </w:rPr>
        <w:t>DIWA  ·  Cavite State University  ·  "Iskolar para sa Bayan!"  ·  Confidential  ·  May 2026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