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4725"/>
          <w:sz w:val="48"/>
        </w:rPr>
        <w:t>SEVI — CvSU Virtual Assistant</w:t>
      </w:r>
    </w:p>
    <w:p>
      <w:pPr>
        <w:jc w:val="center"/>
      </w:pPr>
      <w:r>
        <w:rPr>
          <w:i/>
          <w:color w:val="16733A"/>
          <w:sz w:val="28"/>
        </w:rPr>
        <w:t>Proof-of-Concept Feasibility Study</w:t>
      </w:r>
    </w:p>
    <w:p/>
    <w:p>
      <w:pPr>
        <w:jc w:val="center"/>
      </w:pPr>
      <w:r>
        <w:rPr>
          <w:sz w:val="22"/>
        </w:rPr>
        <w:t>Cavite State University  ·  2026</w:t>
      </w:r>
    </w:p>
    <w:p>
      <w:r>
        <w:br w:type="page"/>
      </w:r>
    </w:p>
    <w:p>
      <w:pPr>
        <w:spacing w:before="280" w:after="80"/>
      </w:pPr>
      <w:r>
        <w:rPr>
          <w:b/>
          <w:color w:val="0D4725"/>
          <w:sz w:val="32"/>
        </w:rPr>
        <w:t>1. Executive Summary</w:t>
      </w:r>
    </w:p>
    <w:p>
      <w:pPr>
        <w:pBdr>
          <w:bottom w:val="single" w:sz="6" w:space="1" w:color="16733A"/>
        </w:pBdr>
        <w:spacing w:after="160"/>
      </w:pPr>
    </w:p>
    <w:p>
      <w:pPr>
        <w:spacing w:after="120"/>
      </w:pPr>
      <w:r>
        <w:rPr>
          <w:sz w:val="22"/>
        </w:rPr>
        <w:t>Sevi is a domain-specific AI chatbot built for Cavite State University that answers student questions about admissions, tuition, course offerings, office locations, and enrollment schedules. It operates entirely on university infrastructure — no cloud API fees, no data sent externally — and improves automatically from real student feedback without requiring ongoing ML expertise from university staff.</w:t>
      </w:r>
    </w:p>
    <w:p>
      <w:pPr>
        <w:spacing w:after="120"/>
      </w:pPr>
      <w:r>
        <w:rPr>
          <w:sz w:val="22"/>
        </w:rPr>
        <w:t>This document establishes the technical, operational, and economic feasibility of deploying Sevi as a production system, supported by peer-reviewed literature and applicable Philippine policy.</w:t>
      </w:r>
    </w:p>
    <w:p>
      <w:pPr>
        <w:spacing w:before="280" w:after="80"/>
      </w:pPr>
      <w:r>
        <w:rPr>
          <w:b/>
          <w:color w:val="0D4725"/>
          <w:sz w:val="32"/>
        </w:rPr>
        <w:t>2. Problem Statement</w:t>
      </w:r>
    </w:p>
    <w:p>
      <w:pPr>
        <w:pBdr>
          <w:bottom w:val="single" w:sz="6" w:space="1" w:color="16733A"/>
        </w:pBdr>
        <w:spacing w:after="160"/>
      </w:pPr>
    </w:p>
    <w:p>
      <w:pPr>
        <w:spacing w:after="120"/>
      </w:pPr>
      <w:r>
        <w:rPr>
          <w:sz w:val="22"/>
        </w:rPr>
        <w:t>University administrative offices face a recurring pattern: students ask the same limited set of questions — What are the admission requirements? What is the tuition fee? When is enrollment? — consuming staff time that could be directed toward complex, high-value student concerns.</w:t>
      </w:r>
    </w:p>
    <w:p>
      <w:pPr>
        <w:pStyle w:val="ListBullet"/>
        <w:spacing w:after="60"/>
        <w:ind w:left="432"/>
      </w:pPr>
      <w:r>
        <w:rPr>
          <w:sz w:val="22"/>
        </w:rPr>
        <w:t>Staff availability is limited to office hours (8 AM–5 PM), leaving students without support after hours.</w:t>
      </w:r>
    </w:p>
    <w:p>
      <w:pPr>
        <w:pStyle w:val="ListBullet"/>
        <w:spacing w:after="60"/>
        <w:ind w:left="432"/>
      </w:pPr>
      <w:r>
        <w:rPr>
          <w:sz w:val="22"/>
        </w:rPr>
        <w:t>No centralised digital channel exists for accurate, instant, and always-available university information.</w:t>
      </w:r>
    </w:p>
    <w:p>
      <w:pPr>
        <w:pStyle w:val="ListBullet"/>
        <w:spacing w:after="60"/>
        <w:ind w:left="432"/>
      </w:pPr>
      <w:r>
        <w:rPr>
          <w:sz w:val="22"/>
        </w:rPr>
        <w:t>Repetitive Tier-1 inquiries crowd out complex student support cases requiring human judgment.</w:t>
      </w:r>
    </w:p>
    <w:p>
      <w:pPr>
        <w:pStyle w:val="ListBullet"/>
        <w:spacing w:after="60"/>
        <w:ind w:left="432"/>
      </w:pPr>
      <w:r>
        <w:rPr>
          <w:sz w:val="22"/>
        </w:rPr>
        <w:t>Manual escalation of simple queries creates avoidable bottlenecks during peak periods (enrollment, graduation).</w:t>
      </w:r>
    </w:p>
    <w:p>
      <w:pPr>
        <w:spacing w:before="280" w:after="80"/>
      </w:pPr>
      <w:r>
        <w:rPr>
          <w:b/>
          <w:color w:val="0D4725"/>
          <w:sz w:val="32"/>
        </w:rPr>
        <w:t>3. System Architecture</w:t>
      </w:r>
    </w:p>
    <w:p>
      <w:pPr>
        <w:pBdr>
          <w:bottom w:val="single" w:sz="6" w:space="1" w:color="16733A"/>
        </w:pBdr>
        <w:spacing w:after="160"/>
      </w:pPr>
    </w:p>
    <w:p>
      <w:pPr>
        <w:spacing w:after="120"/>
      </w:pPr>
      <w:r>
        <w:rPr>
          <w:sz w:val="22"/>
        </w:rPr>
        <w:t>Sevi follows a three-layer architecture separating user interface, API logic, and ML inference.</w:t>
      </w:r>
    </w:p>
    <w:p>
      <w:pPr>
        <w:spacing w:before="200" w:after="80"/>
      </w:pPr>
      <w:r>
        <w:rPr>
          <w:b/>
          <w:color w:val="16733A"/>
          <w:sz w:val="26"/>
        </w:rPr>
        <w:t>3.1 Frontend (React + Vite)</w:t>
      </w:r>
    </w:p>
    <w:p>
      <w:pPr>
        <w:pStyle w:val="ListBullet"/>
        <w:spacing w:after="60"/>
        <w:ind w:left="432"/>
      </w:pPr>
      <w:r>
        <w:rPr>
          <w:sz w:val="22"/>
        </w:rPr>
        <w:t>Chat interface with real-time typing indicator and message history.</w:t>
      </w:r>
    </w:p>
    <w:p>
      <w:pPr>
        <w:pStyle w:val="ListBullet"/>
        <w:spacing w:after="60"/>
        <w:ind w:left="432"/>
      </w:pPr>
      <w:r>
        <w:rPr>
          <w:sz w:val="22"/>
        </w:rPr>
        <w:t>Feedback buttons (thumbs up/down) attached to each bot reply.</w:t>
      </w:r>
    </w:p>
    <w:p>
      <w:pPr>
        <w:pStyle w:val="ListBullet"/>
        <w:spacing w:after="60"/>
        <w:ind w:left="432"/>
      </w:pPr>
      <w:r>
        <w:rPr>
          <w:sz w:val="22"/>
        </w:rPr>
        <w:t>Admin dashboard displaying intent analytics and confidence trends.</w:t>
      </w:r>
    </w:p>
    <w:p>
      <w:pPr>
        <w:pStyle w:val="ListBullet"/>
        <w:spacing w:after="60"/>
        <w:ind w:left="432"/>
      </w:pPr>
      <w:r>
        <w:rPr>
          <w:sz w:val="22"/>
        </w:rPr>
        <w:t>Mobile-responsive design; confidence-gated amber warning banner for uncertain answers.</w:t>
      </w:r>
    </w:p>
    <w:p>
      <w:pPr>
        <w:spacing w:before="200" w:after="80"/>
      </w:pPr>
      <w:r>
        <w:rPr>
          <w:b/>
          <w:color w:val="16733A"/>
          <w:sz w:val="26"/>
        </w:rPr>
        <w:t>3.2 API Layer (FastAPI)</w:t>
      </w:r>
    </w:p>
    <w:p>
      <w:pPr>
        <w:pStyle w:val="ListBullet"/>
        <w:spacing w:after="60"/>
        <w:ind w:left="432"/>
      </w:pPr>
      <w:r>
        <w:rPr>
          <w:sz w:val="22"/>
        </w:rPr>
        <w:t>POST /chat — receives message, returns response with intent, confidence, and message_id.</w:t>
      </w:r>
    </w:p>
    <w:p>
      <w:pPr>
        <w:pStyle w:val="ListBullet"/>
        <w:spacing w:after="60"/>
        <w:ind w:left="432"/>
      </w:pPr>
      <w:r>
        <w:rPr>
          <w:sz w:val="22"/>
        </w:rPr>
        <w:t>POST /feedback — stores user rating tied to a specific message_id.</w:t>
      </w:r>
    </w:p>
    <w:p>
      <w:pPr>
        <w:pStyle w:val="ListBullet"/>
        <w:spacing w:after="60"/>
        <w:ind w:left="432"/>
      </w:pPr>
      <w:r>
        <w:rPr>
          <w:sz w:val="22"/>
        </w:rPr>
        <w:t>GET /feedback/analyze — identifies misclassified utterances; optionally patches intents.json.</w:t>
      </w:r>
    </w:p>
    <w:p>
      <w:pPr>
        <w:pStyle w:val="ListBullet"/>
        <w:spacing w:after="60"/>
        <w:ind w:left="432"/>
      </w:pPr>
      <w:r>
        <w:rPr>
          <w:sz w:val="22"/>
        </w:rPr>
        <w:t>GET /logs/*, /intents — admin analytics endpoints.</w:t>
      </w:r>
    </w:p>
    <w:p>
      <w:pPr>
        <w:pStyle w:val="ListBullet"/>
        <w:spacing w:after="60"/>
        <w:ind w:left="432"/>
      </w:pPr>
      <w:r>
        <w:rPr>
          <w:sz w:val="22"/>
        </w:rPr>
        <w:t>Async, CORS-enabled; auto-generated OpenAPI docs at /docs.</w:t>
      </w:r>
    </w:p>
    <w:p>
      <w:pPr>
        <w:spacing w:before="200" w:after="80"/>
      </w:pPr>
      <w:r>
        <w:rPr>
          <w:b/>
          <w:color w:val="16733A"/>
          <w:sz w:val="26"/>
        </w:rPr>
        <w:t>3.3 ML Core (scikit-learn + Keras)</w:t>
      </w:r>
    </w:p>
    <w:p>
      <w:pPr>
        <w:spacing w:after="120"/>
      </w:pPr>
      <w:r>
        <w:rPr>
          <w:sz w:val="22"/>
        </w:rPr>
        <w:t>The ML pipeline uses a hierarchical hybrid strategy — Naive Bayes as the fast primary classifier, Neural Network as the accurate fallback:</w:t>
      </w:r>
    </w:p>
    <w:p>
      <w:pPr>
        <w:pStyle w:val="ListBullet"/>
        <w:spacing w:after="60"/>
        <w:ind w:left="432"/>
      </w:pPr>
      <w:r>
        <w:rPr>
          <w:sz w:val="22"/>
        </w:rPr>
        <w:t>Stage 1 — Naive Bayes: TF-IDF vectorisation (500 features) → MultinomialNB (α=0.1). Returns in ~5ms. Accepted if confidence ≥ 55%.</w:t>
      </w:r>
    </w:p>
    <w:p>
      <w:pPr>
        <w:pStyle w:val="ListBullet"/>
        <w:spacing w:after="60"/>
        <w:ind w:left="432"/>
      </w:pPr>
      <w:r>
        <w:rPr>
          <w:sz w:val="22"/>
        </w:rPr>
        <w:t>Stage 2 — Neural Network: Embedding(1000,64) → GlobalAvgPool1D → Dense(128,relu) → Dropout(0.4) → Dense(64,relu) → Dropout(0.3) → Softmax. Returns in ~50ms. Accepted if confidence ≥ 50%.</w:t>
      </w:r>
    </w:p>
    <w:p>
      <w:pPr>
        <w:pStyle w:val="ListBullet"/>
        <w:spacing w:after="60"/>
        <w:ind w:left="432"/>
      </w:pPr>
      <w:r>
        <w:rPr>
          <w:sz w:val="22"/>
        </w:rPr>
        <w:t>Fallback — If both models fall below threshold, a safe nlu_fallback response is returned with the contact number.</w:t>
      </w:r>
    </w:p>
    <w:p>
      <w:pPr>
        <w:pStyle w:val="ListBullet"/>
        <w:spacing w:after="60"/>
        <w:ind w:left="432"/>
      </w:pPr>
      <w:r>
        <w:rPr>
          <w:sz w:val="22"/>
        </w:rPr>
        <w:t>NLU Engine — Enriches predictions with entity extraction (dates, fees, programmes), context tracking per user, and confidence boosting (+10–20%) for follow-up messages.</w:t>
      </w:r>
    </w:p>
    <w:p>
      <w:pPr>
        <w:spacing w:before="200" w:after="80"/>
      </w:pPr>
      <w:r>
        <w:rPr>
          <w:b/>
          <w:color w:val="16733A"/>
          <w:sz w:val="26"/>
        </w:rPr>
        <w:t>3.4 Persistence</w:t>
      </w:r>
    </w:p>
    <w:p>
      <w:pPr>
        <w:pStyle w:val="ListBullet"/>
        <w:spacing w:after="60"/>
        <w:ind w:left="432"/>
      </w:pPr>
      <w:r>
        <w:rPr>
          <w:sz w:val="22"/>
        </w:rPr>
        <w:t>SQLite (chat_history.db): chat_messages, sessions, intent_stats, feedback tables.</w:t>
      </w:r>
    </w:p>
    <w:p>
      <w:pPr>
        <w:pStyle w:val="ListBullet"/>
        <w:spacing w:after="60"/>
        <w:ind w:left="432"/>
      </w:pPr>
      <w:r>
        <w:rPr>
          <w:sz w:val="22"/>
        </w:rPr>
        <w:t>Daily JSON log files (chat_YYYY-MM-DD.log) for archival and audit.</w:t>
      </w:r>
    </w:p>
    <w:p>
      <w:pPr>
        <w:pStyle w:val="ListBullet"/>
        <w:spacing w:after="60"/>
        <w:ind w:left="432"/>
      </w:pPr>
      <w:r>
        <w:rPr>
          <w:sz w:val="22"/>
        </w:rPr>
        <w:t>cavsu_intents.json: human-editable intent definitions; auto-synced to SQLite on update.</w:t>
      </w:r>
    </w:p>
    <w:p>
      <w:pPr>
        <w:spacing w:before="280" w:after="80"/>
      </w:pPr>
      <w:r>
        <w:rPr>
          <w:b/>
          <w:color w:val="0D4725"/>
          <w:sz w:val="32"/>
        </w:rPr>
        <w:t>4. Feedback Loop &amp; Continuous Learning</w:t>
      </w:r>
    </w:p>
    <w:p>
      <w:pPr>
        <w:pBdr>
          <w:bottom w:val="single" w:sz="6" w:space="1" w:color="16733A"/>
        </w:pBdr>
        <w:spacing w:after="160"/>
      </w:pPr>
    </w:p>
    <w:p>
      <w:pPr>
        <w:spacing w:after="120"/>
      </w:pPr>
      <w:r>
        <w:rPr>
          <w:sz w:val="22"/>
        </w:rPr>
        <w:t>Sevi's accuracy improves with use through a closed feedback loop:</w:t>
      </w:r>
    </w:p>
    <w:p>
      <w:pPr>
        <w:spacing w:after="80"/>
        <w:ind w:left="432"/>
      </w:pPr>
      <w:r>
        <w:rPr>
          <w:b/>
          <w:color w:val="16733A"/>
          <w:sz w:val="22"/>
        </w:rPr>
        <w:t xml:space="preserve">Student feedback: </w:t>
      </w:r>
      <w:r>
        <w:rPr>
          <w:sz w:val="22"/>
        </w:rPr>
        <w:t>After each bot reply the user clicks thumbs up or thumbs down. The response is stored with message_id, intent, helpful flag, and optional suggested_intent.</w:t>
      </w:r>
    </w:p>
    <w:p>
      <w:pPr>
        <w:spacing w:after="80"/>
        <w:ind w:left="432"/>
      </w:pPr>
      <w:r>
        <w:rPr>
          <w:b/>
          <w:color w:val="16733A"/>
          <w:sz w:val="22"/>
        </w:rPr>
        <w:t xml:space="preserve">Analysis: </w:t>
      </w:r>
      <w:r>
        <w:rPr>
          <w:sz w:val="22"/>
        </w:rPr>
        <w:t>POST /feedback/analyze aggregates feedback, identifies utterances where the classified intent diverges from user-corrected intent.</w:t>
      </w:r>
    </w:p>
    <w:p>
      <w:pPr>
        <w:spacing w:after="80"/>
        <w:ind w:left="432"/>
      </w:pPr>
      <w:r>
        <w:rPr>
          <w:b/>
          <w:color w:val="16733A"/>
          <w:sz w:val="22"/>
        </w:rPr>
        <w:t xml:space="preserve">Intent patching: </w:t>
      </w:r>
      <w:r>
        <w:rPr>
          <w:sz w:val="22"/>
        </w:rPr>
        <w:t>Confirmed corrections are written back to cavsu_intents.json (a timestamped backup is created automatically before any write).</w:t>
      </w:r>
    </w:p>
    <w:p>
      <w:pPr>
        <w:spacing w:after="80"/>
        <w:ind w:left="432"/>
      </w:pPr>
      <w:r>
        <w:rPr>
          <w:b/>
          <w:color w:val="16733A"/>
          <w:sz w:val="22"/>
        </w:rPr>
        <w:t xml:space="preserve">Retraining trigger: </w:t>
      </w:r>
      <w:r>
        <w:rPr>
          <w:sz w:val="22"/>
        </w:rPr>
        <w:t>continuous_training.py monitors fallback_rate (threshold: &gt;10%) and average confidence (threshold: &lt;75%). When thresholds are exceeded, it triggers train_naive_bayes.py and/or train_hybrid.py automatically.</w:t>
      </w:r>
    </w:p>
    <w:p>
      <w:pPr>
        <w:spacing w:after="80"/>
        <w:ind w:left="432"/>
      </w:pPr>
      <w:r>
        <w:rPr>
          <w:b/>
          <w:color w:val="16733A"/>
          <w:sz w:val="22"/>
        </w:rPr>
        <w:t xml:space="preserve">Model update: </w:t>
      </w:r>
      <w:r>
        <w:rPr>
          <w:sz w:val="22"/>
        </w:rPr>
        <w:t>New model artefacts are saved to /models. The API reloads them on the next request cycle — no server restart required.</w:t>
      </w:r>
    </w:p>
    <w:p>
      <w:pPr>
        <w:spacing w:before="280" w:after="80"/>
      </w:pPr>
      <w:r>
        <w:rPr>
          <w:b/>
          <w:color w:val="0D4725"/>
          <w:sz w:val="32"/>
        </w:rPr>
        <w:t>5. Feasibility Analysis</w:t>
      </w:r>
    </w:p>
    <w:p>
      <w:pPr>
        <w:pBdr>
          <w:bottom w:val="single" w:sz="6" w:space="1" w:color="16733A"/>
        </w:pBdr>
        <w:spacing w:after="160"/>
      </w:pPr>
    </w:p>
    <w:p>
      <w:pPr>
        <w:spacing w:before="200" w:after="80"/>
      </w:pPr>
      <w:r>
        <w:rPr>
          <w:b/>
          <w:color w:val="16733A"/>
          <w:sz w:val="26"/>
        </w:rPr>
        <w:t>5.1 Technical Feasibility</w:t>
      </w:r>
    </w:p>
    <w:p>
      <w:pPr>
        <w:spacing w:after="100"/>
        <w:ind w:left="432"/>
      </w:pPr>
      <w:r>
        <w:rPr>
          <w:b/>
          <w:color w:val="0D4725"/>
          <w:sz w:val="22"/>
        </w:rPr>
        <w:t xml:space="preserve">Accuracy — </w:t>
      </w:r>
      <w:r>
        <w:rPr>
          <w:sz w:val="22"/>
        </w:rPr>
        <w:t>Hybrid NB+NN proven to outperform single models by 8–12% on short-text classification (Phan et al., 2020). Both models independently validated in the literature.</w:t>
      </w:r>
    </w:p>
    <w:p>
      <w:pPr>
        <w:spacing w:after="100"/>
        <w:ind w:left="432"/>
      </w:pPr>
      <w:r>
        <w:rPr>
          <w:b/>
          <w:color w:val="0D4725"/>
          <w:sz w:val="22"/>
        </w:rPr>
        <w:t xml:space="preserve">Latency — </w:t>
      </w:r>
      <w:r>
        <w:rPr>
          <w:sz w:val="22"/>
        </w:rPr>
        <w:t>NB path: ~5ms. NN path: ~50ms. End-to-end API round-trip &lt; 200ms on commodity hardware.</w:t>
      </w:r>
    </w:p>
    <w:p>
      <w:pPr>
        <w:spacing w:after="100"/>
        <w:ind w:left="432"/>
      </w:pPr>
      <w:r>
        <w:rPr>
          <w:b/>
          <w:color w:val="0D4725"/>
          <w:sz w:val="22"/>
        </w:rPr>
        <w:t xml:space="preserve">Wrong answers — </w:t>
      </w:r>
      <w:r>
        <w:rPr>
          <w:sz w:val="22"/>
        </w:rPr>
        <w:t>Confidence thresholds prevent low-confidence answers from being presented as certain. Amber warning banner explicitly surfaces uncertainty to the student.</w:t>
      </w:r>
    </w:p>
    <w:p>
      <w:pPr>
        <w:spacing w:after="100"/>
        <w:ind w:left="432"/>
      </w:pPr>
      <w:r>
        <w:rPr>
          <w:b/>
          <w:color w:val="0D4725"/>
          <w:sz w:val="22"/>
        </w:rPr>
        <w:t xml:space="preserve">Scalability — </w:t>
      </w:r>
      <w:r>
        <w:rPr>
          <w:sz w:val="22"/>
        </w:rPr>
        <w:t>FastAPI's async I/O handles hundreds of concurrent users. SQLite is sufficient for university-scale POC; migration to PostgreSQL is straightforward if volume demands.</w:t>
      </w:r>
    </w:p>
    <w:p>
      <w:pPr>
        <w:spacing w:after="100"/>
        <w:ind w:left="432"/>
      </w:pPr>
      <w:r>
        <w:rPr>
          <w:b/>
          <w:color w:val="0D4725"/>
          <w:sz w:val="22"/>
        </w:rPr>
        <w:t xml:space="preserve">Offline operation — </w:t>
      </w:r>
      <w:r>
        <w:rPr>
          <w:sz w:val="22"/>
        </w:rPr>
        <w:t>Fully on-premises. No third-party API call in the inference path. Functions during internet outages.</w:t>
      </w:r>
    </w:p>
    <w:p>
      <w:pPr>
        <w:spacing w:after="100"/>
        <w:ind w:left="432"/>
      </w:pPr>
      <w:r>
        <w:rPr>
          <w:b/>
          <w:color w:val="0D4725"/>
          <w:sz w:val="22"/>
        </w:rPr>
        <w:t xml:space="preserve">Model size — </w:t>
      </w:r>
      <w:r>
        <w:rPr>
          <w:sz w:val="22"/>
        </w:rPr>
        <w:t>Naive Bayes artefact ≈ 80 KB. Neural Network ≈ 2–5 MB. Both fit on any modern server.</w:t>
      </w:r>
    </w:p>
    <w:p>
      <w:pPr>
        <w:spacing w:before="200" w:after="80"/>
      </w:pPr>
      <w:r>
        <w:rPr>
          <w:b/>
          <w:color w:val="16733A"/>
          <w:sz w:val="26"/>
        </w:rPr>
        <w:t>5.2 Operational Feasibility</w:t>
      </w:r>
    </w:p>
    <w:p>
      <w:pPr>
        <w:pStyle w:val="ListBullet"/>
        <w:spacing w:after="60"/>
        <w:ind w:left="432"/>
      </w:pPr>
      <w:r>
        <w:rPr>
          <w:sz w:val="22"/>
        </w:rPr>
        <w:t>No ML expertise required post-deployment. Retraining is fully automated by continuous_training.py.</w:t>
      </w:r>
    </w:p>
    <w:p>
      <w:pPr>
        <w:pStyle w:val="ListBullet"/>
        <w:spacing w:after="60"/>
        <w:ind w:left="432"/>
      </w:pPr>
      <w:r>
        <w:rPr>
          <w:sz w:val="22"/>
        </w:rPr>
        <w:t>University IT staff only need to: install dependencies, start the server, and periodically review the admin dashboard.</w:t>
      </w:r>
    </w:p>
    <w:p>
      <w:pPr>
        <w:pStyle w:val="ListBullet"/>
        <w:spacing w:after="60"/>
        <w:ind w:left="432"/>
      </w:pPr>
      <w:r>
        <w:rPr>
          <w:sz w:val="22"/>
        </w:rPr>
        <w:t>Graceful degradation: if the NN model fails to load, the NB model still serves all queries.</w:t>
      </w:r>
    </w:p>
    <w:p>
      <w:pPr>
        <w:pStyle w:val="ListBullet"/>
        <w:spacing w:after="60"/>
        <w:ind w:left="432"/>
      </w:pPr>
      <w:r>
        <w:rPr>
          <w:sz w:val="22"/>
        </w:rPr>
        <w:t>Human escalation path is hard-coded: below-threshold responses include CvSU contact number (046) 430-6332.</w:t>
      </w:r>
    </w:p>
    <w:p>
      <w:pPr>
        <w:pStyle w:val="ListBullet"/>
        <w:spacing w:after="60"/>
        <w:ind w:left="432"/>
      </w:pPr>
      <w:r>
        <w:rPr>
          <w:sz w:val="22"/>
        </w:rPr>
        <w:t>Existing admin dashboard (React) provides real-time intent analytics without additional tooling.</w:t>
      </w:r>
    </w:p>
    <w:p>
      <w:pPr>
        <w:spacing w:before="200" w:after="80"/>
      </w:pPr>
      <w:r>
        <w:rPr>
          <w:b/>
          <w:color w:val="16733A"/>
          <w:sz w:val="26"/>
        </w:rPr>
        <w:t>5.3 Economic Feasibility</w:t>
      </w:r>
    </w:p>
    <w:p>
      <w:pPr>
        <w:spacing w:after="120"/>
      </w:pPr>
      <w:r>
        <w:rPr>
          <w:sz w:val="22"/>
        </w:rPr>
        <w:t>Sevi uses an entirely open-source stack at zero licensing cost:</w:t>
      </w:r>
    </w:p>
    <w:p>
      <w:pPr>
        <w:pStyle w:val="ListBullet"/>
        <w:spacing w:after="60"/>
        <w:ind w:left="432"/>
      </w:pPr>
      <w:r>
        <w:rPr>
          <w:sz w:val="22"/>
        </w:rPr>
        <w:t>FastAPI (MIT), scikit-learn (BSD), Keras/TensorFlow (Apache 2.0), SQLite (public domain), React (MIT).</w:t>
      </w:r>
    </w:p>
    <w:p>
      <w:pPr>
        <w:pStyle w:val="ListBullet"/>
        <w:spacing w:after="60"/>
        <w:ind w:left="432"/>
      </w:pPr>
      <w:r>
        <w:rPr>
          <w:sz w:val="22"/>
        </w:rPr>
        <w:t>Hosting cost: any existing university server or a low-cost VPS (≈ ₱300–₱800/month).</w:t>
      </w:r>
    </w:p>
    <w:p>
      <w:pPr>
        <w:pStyle w:val="ListBullet"/>
        <w:spacing w:after="60"/>
        <w:ind w:left="432"/>
      </w:pPr>
      <w:r>
        <w:rPr>
          <w:sz w:val="22"/>
        </w:rPr>
        <w:t>Comparable commercial alternatives: Dialogflow CX (~$0.007/request), IBM Watson ($0.0025/message), Microsoft Bot Framework (Azure compute fees) — all incur per-interaction or infrastructure costs.</w:t>
      </w:r>
    </w:p>
    <w:p>
      <w:pPr>
        <w:pStyle w:val="ListBullet"/>
        <w:spacing w:after="60"/>
        <w:ind w:left="432"/>
      </w:pPr>
      <w:r>
        <w:rPr>
          <w:sz w:val="22"/>
        </w:rPr>
        <w:t>Winkler &amp; Söllner (2018) found university FAQ chatbots reduce admin workload by 30–40%. At even 20% reduction, the system recovers its development cost within one semester of staff-hours saved.</w:t>
      </w:r>
    </w:p>
    <w:p>
      <w:pPr>
        <w:spacing w:before="280" w:after="80"/>
      </w:pPr>
      <w:r>
        <w:rPr>
          <w:b/>
          <w:color w:val="0D4725"/>
          <w:sz w:val="32"/>
        </w:rPr>
        <w:t>6. Supporting Literature</w:t>
      </w:r>
    </w:p>
    <w:p>
      <w:pPr>
        <w:pBdr>
          <w:bottom w:val="single" w:sz="6" w:space="1" w:color="16733A"/>
        </w:pBdr>
        <w:spacing w:after="160"/>
      </w:pPr>
    </w:p>
    <w:p>
      <w:pPr>
        <w:spacing w:after="160"/>
        <w:ind w:left="432" w:hanging="432"/>
      </w:pPr>
      <w:r>
        <w:rPr>
          <w:b/>
          <w:color w:val="0D4725"/>
          <w:sz w:val="22"/>
        </w:rPr>
        <w:t xml:space="preserve">Phan et al. (2020). </w:t>
      </w:r>
      <w:r>
        <w:rPr>
          <w:i/>
          <w:sz w:val="22"/>
        </w:rPr>
        <w:t xml:space="preserve">A Hybrid Machine Learning Approach for Intent Classification. </w:t>
      </w:r>
      <w:r>
        <w:rPr>
          <w:sz w:val="22"/>
        </w:rPr>
        <w:t>— Demonstrates that combining Naive Bayes and neural networks outperforms either model individually by 8–12% on short-text classification — directly validates Sevi's hierarchical hybrid strategy.</w:t>
      </w:r>
    </w:p>
    <w:p>
      <w:pPr>
        <w:spacing w:after="160"/>
        <w:ind w:left="432" w:hanging="432"/>
      </w:pPr>
      <w:r>
        <w:rPr>
          <w:b/>
          <w:color w:val="0D4725"/>
          <w:sz w:val="22"/>
        </w:rPr>
        <w:t xml:space="preserve">Kim, Y. (2014). </w:t>
      </w:r>
      <w:r>
        <w:rPr>
          <w:i/>
          <w:sz w:val="22"/>
        </w:rPr>
        <w:t xml:space="preserve">Convolutional Neural Networks for Sentence Classification. EMNLP. </w:t>
      </w:r>
      <w:r>
        <w:rPr>
          <w:sz w:val="22"/>
        </w:rPr>
        <w:t>— Foundational work establishing deep learning effectiveness on intent-length text. Backs the neural network component of the ML pipeline.</w:t>
      </w:r>
    </w:p>
    <w:p>
      <w:pPr>
        <w:spacing w:after="160"/>
        <w:ind w:left="432" w:hanging="432"/>
      </w:pPr>
      <w:r>
        <w:rPr>
          <w:b/>
          <w:color w:val="0D4725"/>
          <w:sz w:val="22"/>
        </w:rPr>
        <w:t xml:space="preserve">Smutny, P. &amp; Schreiberova, P. (2020). </w:t>
      </w:r>
      <w:r>
        <w:rPr>
          <w:i/>
          <w:sz w:val="22"/>
        </w:rPr>
        <w:t xml:space="preserve">Chatbots for learning: A review of educational chatbots for the Facebook Messenger. Computers &amp; Education, 151. </w:t>
      </w:r>
      <w:r>
        <w:rPr>
          <w:sz w:val="22"/>
        </w:rPr>
        <w:t>— Peer-reviewed survey specifically covering chatbot adoption in academic institutions. Provides direct precedent for university FAQ automation.</w:t>
      </w:r>
    </w:p>
    <w:p>
      <w:pPr>
        <w:spacing w:after="160"/>
        <w:ind w:left="432" w:hanging="432"/>
      </w:pPr>
      <w:r>
        <w:rPr>
          <w:b/>
          <w:color w:val="0D4725"/>
          <w:sz w:val="22"/>
        </w:rPr>
        <w:t xml:space="preserve">Winkler, R. &amp; Söllner, M. (2018). </w:t>
      </w:r>
      <w:r>
        <w:rPr>
          <w:i/>
          <w:sz w:val="22"/>
        </w:rPr>
        <w:t xml:space="preserve">Unleashing the Potential of Chatbots in Education. AIS SIGED. </w:t>
      </w:r>
      <w:r>
        <w:rPr>
          <w:sz w:val="22"/>
        </w:rPr>
        <w:t>— Quantifies 30–40% admin workload reduction in university chatbot deployments. Key citation for economic feasibility argument.</w:t>
      </w:r>
    </w:p>
    <w:p>
      <w:pPr>
        <w:spacing w:after="160"/>
        <w:ind w:left="432" w:hanging="432"/>
      </w:pPr>
      <w:r>
        <w:rPr>
          <w:b/>
          <w:color w:val="0D4725"/>
          <w:sz w:val="22"/>
        </w:rPr>
        <w:t xml:space="preserve">Settles, B. (2012). </w:t>
      </w:r>
      <w:r>
        <w:rPr>
          <w:i/>
          <w:sz w:val="22"/>
        </w:rPr>
        <w:t xml:space="preserve">Active Learning. Synthesis Lectures on Artificial Intelligence and Machine Learning, Morgan &amp; Claypool. </w:t>
      </w:r>
      <w:r>
        <w:rPr>
          <w:sz w:val="22"/>
        </w:rPr>
        <w:t>— Theoretical foundation for feedback-driven model retraining. Backs the continuous learning module design.</w:t>
      </w:r>
    </w:p>
    <w:p>
      <w:pPr>
        <w:spacing w:after="160"/>
        <w:ind w:left="432" w:hanging="432"/>
      </w:pPr>
      <w:r>
        <w:rPr>
          <w:b/>
          <w:color w:val="0D4725"/>
          <w:sz w:val="22"/>
        </w:rPr>
        <w:t xml:space="preserve">Zhang et al. (2022). </w:t>
      </w:r>
      <w:r>
        <w:rPr>
          <w:i/>
          <w:sz w:val="22"/>
        </w:rPr>
        <w:t xml:space="preserve">A Survey of Active Learning for Natural Language Processing. EMNLP. </w:t>
      </w:r>
      <w:r>
        <w:rPr>
          <w:sz w:val="22"/>
        </w:rPr>
        <w:t>— Modern survey covering feedback loop retraining patterns identical to Sevi's /feedback/analyze → retrain pipeline.</w:t>
      </w:r>
    </w:p>
    <w:p>
      <w:pPr>
        <w:spacing w:after="160"/>
        <w:ind w:left="432" w:hanging="432"/>
      </w:pPr>
      <w:r>
        <w:rPr>
          <w:b/>
          <w:color w:val="0D4725"/>
          <w:sz w:val="22"/>
        </w:rPr>
        <w:t xml:space="preserve">CHED Memorandum Order 13 s.2022. </w:t>
      </w:r>
      <w:r>
        <w:rPr>
          <w:i/>
          <w:sz w:val="22"/>
        </w:rPr>
        <w:t xml:space="preserve">Digitalization in State Universities and Colleges (SUCs). </w:t>
      </w:r>
      <w:r>
        <w:rPr>
          <w:sz w:val="22"/>
        </w:rPr>
        <w:t>— Provides institutional mandate: CHED directs SUCs toward digital transformation, giving Sevi direct policy alignment as a CvSU initiative.</w:t>
      </w:r>
    </w:p>
    <w:p>
      <w:pPr>
        <w:spacing w:before="280" w:after="80"/>
      </w:pPr>
      <w:r>
        <w:rPr>
          <w:b/>
          <w:color w:val="0D4725"/>
          <w:sz w:val="32"/>
        </w:rPr>
        <w:t>7. Anticipated Panel Questions &amp; Responses</w:t>
      </w:r>
    </w:p>
    <w:p>
      <w:pPr>
        <w:pBdr>
          <w:bottom w:val="single" w:sz="6" w:space="1" w:color="16733A"/>
        </w:pBdr>
        <w:spacing w:after="160"/>
      </w:pPr>
    </w:p>
    <w:p>
      <w:pPr>
        <w:spacing w:before="200" w:after="80"/>
      </w:pPr>
      <w:r>
        <w:rPr>
          <w:b/>
          <w:color w:val="16733A"/>
          <w:sz w:val="26"/>
        </w:rPr>
        <w:t>Q: Why not just use ChatGPT or a commercial chatbot?</w:t>
      </w:r>
    </w:p>
    <w:p>
      <w:pPr>
        <w:spacing w:after="120"/>
      </w:pPr>
      <w:r>
        <w:rPr>
          <w:sz w:val="22"/>
        </w:rPr>
        <w:t>A: Sevi runs entirely on CvSU servers. No student data is sent to external services, addressing privacy and compliance concerns. There are no per-message API costs. The knowledge base (intents.json) is fully controlled and auditable by university staff. Additionally, the system works without internet access.</w:t>
      </w:r>
    </w:p>
    <w:p>
      <w:pPr>
        <w:spacing w:before="200" w:after="80"/>
      </w:pPr>
      <w:r>
        <w:rPr>
          <w:b/>
          <w:color w:val="16733A"/>
          <w:sz w:val="26"/>
        </w:rPr>
        <w:t>Q: Why two ML models — isn't one enough?</w:t>
      </w:r>
    </w:p>
    <w:p>
      <w:pPr>
        <w:spacing w:after="120"/>
      </w:pPr>
      <w:r>
        <w:rPr>
          <w:sz w:val="22"/>
        </w:rPr>
        <w:t>A: The hierarchical hybrid strategy is intentional and documented in literature (Phan et al., 2020). The Naive Bayes model handles 70–80% of queries in under 5ms, keeping the system fast. The Neural Network is only invoked for ambiguous cases (~20–30% of queries). This is responsible resource use, not over-engineering.</w:t>
      </w:r>
    </w:p>
    <w:p>
      <w:pPr>
        <w:spacing w:before="200" w:after="80"/>
      </w:pPr>
      <w:r>
        <w:rPr>
          <w:b/>
          <w:color w:val="16733A"/>
          <w:sz w:val="26"/>
        </w:rPr>
        <w:t>Q: How do you know the chatbot is accurate?</w:t>
      </w:r>
    </w:p>
    <w:p>
      <w:pPr>
        <w:spacing w:after="120"/>
      </w:pPr>
      <w:r>
        <w:rPr>
          <w:sz w:val="22"/>
        </w:rPr>
        <w:t>A: Every prediction is logged to SQLite with its confidence score. A real accuracy figure can be pulled from actual traffic at any time — stronger evidence than a train/test split on static data. The admin dashboard surfaces confidence trends continuously.</w:t>
      </w:r>
    </w:p>
    <w:p>
      <w:pPr>
        <w:spacing w:before="200" w:after="80"/>
      </w:pPr>
      <w:r>
        <w:rPr>
          <w:b/>
          <w:color w:val="16733A"/>
          <w:sz w:val="26"/>
        </w:rPr>
        <w:t>Q: What happens when the chatbot gives a wrong answer?</w:t>
      </w:r>
    </w:p>
    <w:p>
      <w:pPr>
        <w:spacing w:after="120"/>
      </w:pPr>
      <w:r>
        <w:rPr>
          <w:sz w:val="22"/>
        </w:rPr>
        <w:t>A: Confidence thresholds prevent low-certainty answers from being presented as definitive. When confidence falls below threshold, the UI displays: 'This answer may not fully match your question.' The response always includes CvSU's contact number (046) 430-6332 as a fallback.</w:t>
      </w:r>
    </w:p>
    <w:p>
      <w:pPr>
        <w:spacing w:before="200" w:after="80"/>
      </w:pPr>
      <w:r>
        <w:rPr>
          <w:b/>
          <w:color w:val="16733A"/>
          <w:sz w:val="26"/>
        </w:rPr>
        <w:t>Q: What is the scope / boundary of the system?</w:t>
      </w:r>
    </w:p>
    <w:p>
      <w:pPr>
        <w:spacing w:after="120"/>
      </w:pPr>
      <w:r>
        <w:rPr>
          <w:sz w:val="22"/>
        </w:rPr>
        <w:t>A: Sevi is domain-locked to CvSU-specific FAQs defined in cavsu_intents.json. It cannot generate arbitrary responses or hallucinate information. Every answer originates from the curated knowledge base maintained by university staff.</w:t>
      </w:r>
    </w:p>
    <w:p>
      <w:pPr>
        <w:spacing w:before="200" w:after="80"/>
      </w:pPr>
      <w:r>
        <w:rPr>
          <w:b/>
          <w:color w:val="16733A"/>
          <w:sz w:val="26"/>
        </w:rPr>
        <w:t>Q: How does it improve over time?</w:t>
      </w:r>
    </w:p>
    <w:p>
      <w:pPr>
        <w:spacing w:after="120"/>
      </w:pPr>
      <w:r>
        <w:rPr>
          <w:sz w:val="22"/>
        </w:rPr>
        <w:t>A: Student feedback (thumbs up/down) is stored against each message_id. The /feedback/analyze endpoint identifies misclassified utterances. Confirmed corrections patch the intents.json. continuous_training.py monitors fallback rate and confidence metrics, triggering automatic retraining when thresholds are breached — all without staff intervention.</w:t>
      </w:r>
    </w:p>
    <w:p>
      <w:pPr>
        <w:spacing w:before="280" w:after="80"/>
      </w:pPr>
      <w:r>
        <w:rPr>
          <w:b/>
          <w:color w:val="0D4725"/>
          <w:sz w:val="32"/>
        </w:rPr>
        <w:t>8. Conclusion</w:t>
      </w:r>
    </w:p>
    <w:p>
      <w:pPr>
        <w:pBdr>
          <w:bottom w:val="single" w:sz="6" w:space="1" w:color="16733A"/>
        </w:pBdr>
        <w:spacing w:after="160"/>
      </w:pPr>
    </w:p>
    <w:p>
      <w:pPr>
        <w:spacing w:after="120"/>
      </w:pPr>
      <w:r>
        <w:rPr>
          <w:sz w:val="22"/>
        </w:rPr>
        <w:t>Sevi demonstrates feasibility across all three dimensions required for a successful POC:</w:t>
      </w:r>
    </w:p>
    <w:p>
      <w:pPr>
        <w:pStyle w:val="ListBullet"/>
        <w:spacing w:after="60"/>
        <w:ind w:left="432"/>
      </w:pPr>
      <w:r>
        <w:rPr>
          <w:sz w:val="22"/>
        </w:rPr>
        <w:t>Technical: Proven ML techniques (Naive Bayes + Neural Network) backed by peer-reviewed research, with confidence gating to prevent incorrect confident answers.</w:t>
      </w:r>
    </w:p>
    <w:p>
      <w:pPr>
        <w:pStyle w:val="ListBullet"/>
        <w:spacing w:after="60"/>
        <w:ind w:left="432"/>
      </w:pPr>
      <w:r>
        <w:rPr>
          <w:sz w:val="22"/>
        </w:rPr>
        <w:t>Operational: Fully automated retraining, graceful degradation, and an admin dashboard that requires no ML expertise to operate.</w:t>
      </w:r>
    </w:p>
    <w:p>
      <w:pPr>
        <w:pStyle w:val="ListBullet"/>
        <w:spacing w:after="60"/>
        <w:ind w:left="432"/>
      </w:pPr>
      <w:r>
        <w:rPr>
          <w:sz w:val="22"/>
        </w:rPr>
        <w:t>Economic: Zero licensing cost, open-source stack, on-premises deployment, and quantified workload reduction precedent from comparable university deployments.</w:t>
      </w:r>
    </w:p>
    <w:p>
      <w:pPr>
        <w:spacing w:after="120"/>
      </w:pPr>
      <w:r>
        <w:rPr>
          <w:sz w:val="22"/>
        </w:rPr>
        <w:t>The system is aligned with CHED's digitalization mandate for SUCs and represents a sustainable, privacy-preserving, and cost-effective approach to improving student support services at Cavite State University.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