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374" w:hanging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Component: Business Services/Task</w:t>
      </w:r>
    </w:p>
    <w:p w:rsidR="00000000" w:rsidDel="00000000" w:rsidP="00000000" w:rsidRDefault="00000000" w:rsidRPr="00000000" w14:paraId="00000003">
      <w:pPr>
        <w:spacing w:after="120" w:line="240" w:lineRule="auto"/>
        <w:ind w:left="374" w:hanging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Name: Tax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Anisha Beladia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Reviewers: Team 15, Bob Dahlberg</w:t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Tax bracket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select tax year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gross income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3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 tax bracket to find taxes to be paid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taxes to be paid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taxes to be paid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Tax bracket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gross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tax year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bracket 2020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bracket 2021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income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year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Process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select the tax year (2020,2021) and provide the gross income.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gross income will be determined by each bracket you are a part of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will include the max taxable amount per bracket you are fully in and a percentage of the income in the one you spill into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taxes to be paid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APIs/Objects: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tax brackets for 2020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brackets for 2021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IF income &lt;  first tax bracket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Taxes to be paid = gross income times the first tax bracket percentage</w:t>
      </w:r>
    </w:p>
    <w:p w:rsidR="00000000" w:rsidDel="00000000" w:rsidP="00000000" w:rsidRDefault="00000000" w:rsidRPr="00000000" w14:paraId="0000002F">
      <w:pPr>
        <w:ind w:left="0"/>
        <w:rPr/>
      </w:pPr>
      <w:r w:rsidDel="00000000" w:rsidR="00000000" w:rsidRPr="00000000">
        <w:rPr>
          <w:rtl w:val="0"/>
        </w:rPr>
        <w:t xml:space="preserve">ELSE IF income &lt;  first tax bracket</w:t>
      </w:r>
    </w:p>
    <w:p w:rsidR="00000000" w:rsidDel="00000000" w:rsidP="00000000" w:rsidRDefault="00000000" w:rsidRPr="00000000" w14:paraId="00000030">
      <w:pPr>
        <w:ind w:left="0"/>
        <w:rPr/>
      </w:pPr>
      <w:r w:rsidDel="00000000" w:rsidR="00000000" w:rsidRPr="00000000">
        <w:rPr>
          <w:rtl w:val="0"/>
        </w:rPr>
        <w:t xml:space="preserve">Taxes to be paid = maximum taxable amount from tax bracket 1 + (gross income - first tax bracket amount) * second tax bracket percentage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ELSE IF…. THIS CONTINUES UP TO THE LAST TAX BRACKET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Component: Business Services/Task</w:t>
      </w:r>
    </w:p>
    <w:p w:rsidR="00000000" w:rsidDel="00000000" w:rsidP="00000000" w:rsidRDefault="00000000" w:rsidRPr="00000000" w14:paraId="00000033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Name: Translate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Anisha Beladia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Reviewers: Team 15, Bob Dahlberg</w:t>
      </w:r>
    </w:p>
    <w:tbl>
      <w:tblPr>
        <w:tblStyle w:val="Table2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String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language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input string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parse string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translation for each word after a comma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String of input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German Dictionary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String of translated input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Spanish Dictionary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French Dictionary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German Dictionary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Spanish Dictionary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French Dictionary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Process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select the language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input a string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string will be translated and the translation will appear after each word preceding a comma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String of input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String of translated input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APIs/Objects: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French Library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 Library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 Library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Library</w:t>
      </w:r>
    </w:p>
    <w:p w:rsidR="00000000" w:rsidDel="00000000" w:rsidP="00000000" w:rsidRDefault="00000000" w:rsidRPr="00000000" w14:paraId="0000005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string will be parsed and each word will be stored in a matrix column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word will be translated into the selected language in another column of the same matrix.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words from each row will be printed with a comma in between.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When selecting the “go back” button the second column will erase to allow for another language translation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Component: Orchestration Services</w:t>
      </w:r>
    </w:p>
    <w:p w:rsidR="00000000" w:rsidDel="00000000" w:rsidP="00000000" w:rsidRDefault="00000000" w:rsidRPr="00000000" w14:paraId="0000006C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Name: Service Broker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Mia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Reviewers: Team 15, Bob Dahlberg</w:t>
      </w:r>
    </w:p>
    <w:tbl>
      <w:tblPr>
        <w:tblStyle w:val="Table3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Selected Program Function</w:t>
            </w:r>
          </w:p>
        </w:tc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from the Application Server Node is processed.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 broker determines which module in Business Service the program enters.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String telling the user that the appropriate program function was successfully loaded.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User-entered Program Function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Process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program function option is entered in the User Interface and the stored information is sent to the Orchestration Service via the Application Server node.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Broker processes the transferred information and redirects the program to the appropriate Business Service module.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String telling the user that the appropriate program function was successfully loaded.</w:t>
      </w:r>
    </w:p>
    <w:p w:rsidR="00000000" w:rsidDel="00000000" w:rsidP="00000000" w:rsidRDefault="00000000" w:rsidRPr="00000000" w14:paraId="0000007F">
      <w:pPr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APIs/Objects: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User enters an option in the User Interface that corresponds to a switch case.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Switch case will call appropriate program functions depending on user input.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(input == Translation)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Direct program to Translate module in Business Services.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Print “The translation program was successfully loaded.”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ELSE IF (input == Tax)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Direct program to Tax module in Business Services.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Print “The tax program was successfully loaded.”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ELSE IF (input == Main Page)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Restart program.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ELSE (input == Options)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Display program overview to user.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Component: Utility Services</w:t>
      </w:r>
    </w:p>
    <w:p w:rsidR="00000000" w:rsidDel="00000000" w:rsidP="00000000" w:rsidRDefault="00000000" w:rsidRPr="00000000" w14:paraId="00000096">
      <w:pPr>
        <w:spacing w:after="120" w:line="240" w:lineRule="auto"/>
        <w:ind w:left="374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Name: Messages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Mason Delane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Reviewers: Team 15, Bob Dahlberg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right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righ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Either the tax amount due or the translated word</w:t>
            </w:r>
          </w:p>
        </w:tc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spacing w:after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is displayed to the user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left="0" w:right="0"/>
              <w:rPr/>
            </w:pPr>
            <w:r w:rsidDel="00000000" w:rsidR="00000000" w:rsidRPr="00000000">
              <w:rPr>
                <w:rtl w:val="0"/>
              </w:rPr>
              <w:t xml:space="preserve">A string with a translated word or tax amount due. This is dependent on what is entered by the user as input.</w:t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Either the tax amount due or the translated word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Description: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1. Output is directed to the utility module from the orchestration module. This output is then displayed to the user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A string with either a translated word or the tax amount due. This is dependent on what is entered by the user. </w:t>
      </w:r>
    </w:p>
    <w:p w:rsidR="00000000" w:rsidDel="00000000" w:rsidP="00000000" w:rsidRDefault="00000000" w:rsidRPr="00000000" w14:paraId="000000AB">
      <w:pPr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APIs/Objects: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French Library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 Library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Library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brackets for 2020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brackets for 2021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output is passed in based on the inputs and operations within the orchestration module.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This output is converted into a string and printed.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If an error was present an error message is displayed.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43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CMSC 355 – Fundamentals of Software Development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370" w:right="43" w:hanging="37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IPO Chart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" w:line="239" w:lineRule="auto"/>
        <w:ind w:left="370" w:right="4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473A"/>
    <w:pPr>
      <w:spacing w:after="1" w:line="239" w:lineRule="auto"/>
      <w:ind w:left="370" w:right="43" w:hanging="370"/>
    </w:pPr>
    <w:rPr>
      <w:rFonts w:ascii="Cambria" w:cs="Cambria" w:eastAsia="Cambria" w:hAnsi="Cambria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473A"/>
    <w:pPr>
      <w:ind w:left="720"/>
      <w:contextualSpacing w:val="1"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43BB"/>
    <w:rPr>
      <w:rFonts w:ascii="Cambria" w:cs="Cambria" w:eastAsia="Cambria" w:hAnsi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43BB"/>
    <w:rPr>
      <w:rFonts w:ascii="Cambria" w:cs="Cambria" w:eastAsia="Cambria" w:hAnsi="Cambria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delanem@vcu.edu" TargetMode="External"/><Relationship Id="rId12" Type="http://schemas.openxmlformats.org/officeDocument/2006/relationships/footer" Target="footer1.xml"/><Relationship Id="rId9" Type="http://schemas.openxmlformats.org/officeDocument/2006/relationships/hyperlink" Target="mailto:parkmj5@vc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ladiaar@vcu.edu" TargetMode="External"/><Relationship Id="rId8" Type="http://schemas.openxmlformats.org/officeDocument/2006/relationships/hyperlink" Target="mailto:beladiaar@v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fQbrtMgDqmw/RNPjYj1mIvHe8Q==">AMUW2mUHwq+Smwl4ntr5Nd0y5Dm8hyycem7R8Xq2thRZHtzza4Rf2o3d07caXbB2NY4LzZ5+6NltoSwEM3hgh5w7YNiw31puEEqy0+/+vzs3yEYsQELy98M=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2021-03-25T13:06:00Z</dcterms:created>
  <dc:creator>Bob Dahlberg</dc:creator>
</cp:coreProperties>
</file>