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niq-product-specification-v1.0"/>
    <w:p>
      <w:pPr>
        <w:pStyle w:val="Heading1"/>
      </w:pPr>
      <w:r>
        <w:t xml:space="preserve">VinIQ Product Specification 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Revision Date:</w:t>
      </w:r>
      <w:r>
        <w:t xml:space="preserve"> </w:t>
      </w:r>
      <w:r>
        <w:t xml:space="preserve">26 June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Foundation Specification (Approved)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Vision &amp; Philosophy</w:t>
      </w:r>
    </w:p>
    <w:p>
      <w:pPr>
        <w:pStyle w:val="Compact"/>
        <w:numPr>
          <w:ilvl w:val="0"/>
          <w:numId w:val="1001"/>
        </w:numPr>
      </w:pPr>
      <w:r>
        <w:t xml:space="preserve">The VinIQ Intelligence Model</w:t>
      </w:r>
    </w:p>
    <w:p>
      <w:pPr>
        <w:pStyle w:val="Compact"/>
        <w:numPr>
          <w:ilvl w:val="0"/>
          <w:numId w:val="1001"/>
        </w:numPr>
      </w:pPr>
      <w:r>
        <w:t xml:space="preserve">Core Domain Model</w:t>
      </w:r>
    </w:p>
    <w:p>
      <w:r>
        <w:pict>
          <v:rect style="width:0;height:1.5pt" o:hralign="center" o:hrstd="t" o:hr="t"/>
        </w:pict>
      </w:r>
    </w:p>
    <w:bookmarkEnd w:id="21"/>
    <w:bookmarkStart w:id="45" w:name="chapter-1-vision-philosophy"/>
    <w:p>
      <w:pPr>
        <w:pStyle w:val="Heading1"/>
      </w:pPr>
      <w:r>
        <w:t xml:space="preserve">Chapter 1 — Vision &amp; Philosophy</w:t>
      </w:r>
    </w:p>
    <w:bookmarkStart w:id="22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VinIQ exists to help one person consistently make better wine decisions.</w:t>
      </w:r>
    </w:p>
    <w:p>
      <w:pPr>
        <w:pStyle w:val="BodyText"/>
      </w:pPr>
      <w:r>
        <w:t xml:space="preserve">Its purpose is not to identify the world’s best wines.</w:t>
      </w:r>
    </w:p>
    <w:p>
      <w:pPr>
        <w:pStyle w:val="BodyText"/>
      </w:pPr>
      <w:r>
        <w:t xml:space="preserve">Its purpose is to understand Alexander.</w:t>
      </w:r>
    </w:p>
    <w:p>
      <w:pPr>
        <w:pStyle w:val="BodyText"/>
      </w:pPr>
      <w:r>
        <w:t xml:space="preserve">Every bottle, tasting, purchase, recommendation and conversation contributes to a continuously improving understanding of his personal taste.</w:t>
      </w:r>
    </w:p>
    <w:p>
      <w:pPr>
        <w:pStyle w:val="BodyText"/>
      </w:pPr>
      <w:r>
        <w:t xml:space="preserve">VinIQ becomes more valuable over time because its knowledge of the user becomes richer with every interaction.</w:t>
      </w:r>
    </w:p>
    <w:p>
      <w:pPr>
        <w:pStyle w:val="BodyText"/>
      </w:pPr>
      <w:r>
        <w:t xml:space="preserve">It behaves less like software and more like a trusted long-term wine advisor.</w:t>
      </w:r>
    </w:p>
    <w:p>
      <w:r>
        <w:pict>
          <v:rect style="width:0;height:1.5pt" o:hralign="center" o:hrstd="t" o:hr="t"/>
        </w:pict>
      </w:r>
    </w:p>
    <w:bookmarkEnd w:id="22"/>
    <w:bookmarkStart w:id="23" w:name="user-experience"/>
    <w:p>
      <w:pPr>
        <w:pStyle w:val="Heading2"/>
      </w:pPr>
      <w:r>
        <w:t xml:space="preserve">2. User Experience</w:t>
      </w:r>
    </w:p>
    <w:p>
      <w:pPr>
        <w:pStyle w:val="FirstParagraph"/>
      </w:pPr>
      <w:r>
        <w:t xml:space="preserve">VinIQ should feel like a private sommelier that has known Alexander for years.</w:t>
      </w:r>
    </w:p>
    <w:p>
      <w:pPr>
        <w:pStyle w:val="BodyText"/>
      </w:pPr>
      <w:r>
        <w:t xml:space="preserve">The application should:</w:t>
      </w:r>
    </w:p>
    <w:p>
      <w:pPr>
        <w:pStyle w:val="Compact"/>
        <w:numPr>
          <w:ilvl w:val="0"/>
          <w:numId w:val="1002"/>
        </w:numPr>
      </w:pPr>
      <w:r>
        <w:t xml:space="preserve">remember previous conversations</w:t>
      </w:r>
    </w:p>
    <w:p>
      <w:pPr>
        <w:pStyle w:val="Compact"/>
        <w:numPr>
          <w:ilvl w:val="0"/>
          <w:numId w:val="1002"/>
        </w:numPr>
      </w:pPr>
      <w:r>
        <w:t xml:space="preserve">understand context</w:t>
      </w:r>
    </w:p>
    <w:p>
      <w:pPr>
        <w:pStyle w:val="Compact"/>
        <w:numPr>
          <w:ilvl w:val="0"/>
          <w:numId w:val="1002"/>
        </w:numPr>
      </w:pPr>
      <w:r>
        <w:t xml:space="preserve">avoid unnecessary questions</w:t>
      </w:r>
    </w:p>
    <w:p>
      <w:pPr>
        <w:pStyle w:val="Compact"/>
        <w:numPr>
          <w:ilvl w:val="0"/>
          <w:numId w:val="1002"/>
        </w:numPr>
      </w:pPr>
      <w:r>
        <w:t xml:space="preserve">provide thoughtful recommendations</w:t>
      </w:r>
    </w:p>
    <w:p>
      <w:pPr>
        <w:pStyle w:val="Compact"/>
        <w:numPr>
          <w:ilvl w:val="0"/>
          <w:numId w:val="1002"/>
        </w:numPr>
      </w:pPr>
      <w:r>
        <w:t xml:space="preserve">explain its reasoning</w:t>
      </w:r>
    </w:p>
    <w:p>
      <w:pPr>
        <w:pStyle w:val="Compact"/>
        <w:numPr>
          <w:ilvl w:val="0"/>
          <w:numId w:val="1002"/>
        </w:numPr>
      </w:pPr>
      <w:r>
        <w:t xml:space="preserve">save time</w:t>
      </w:r>
    </w:p>
    <w:p>
      <w:pPr>
        <w:pStyle w:val="Compact"/>
        <w:numPr>
          <w:ilvl w:val="0"/>
          <w:numId w:val="1002"/>
        </w:numPr>
      </w:pPr>
      <w:r>
        <w:t xml:space="preserve">learn continuously</w:t>
      </w:r>
    </w:p>
    <w:p>
      <w:pPr>
        <w:pStyle w:val="FirstParagraph"/>
      </w:pPr>
      <w:r>
        <w:t xml:space="preserve">The experience should feel personal rather than transactional.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identity"/>
    <w:p>
      <w:pPr>
        <w:pStyle w:val="Heading2"/>
      </w:pPr>
      <w:r>
        <w:t xml:space="preserve">3. Product Identity</w:t>
      </w:r>
    </w:p>
    <w:p>
      <w:pPr>
        <w:pStyle w:val="FirstParagraph"/>
      </w:pPr>
      <w:r>
        <w:t xml:space="preserve">VinIQ combines multiple capabilities into one coherent product:</w:t>
      </w:r>
    </w:p>
    <w:p>
      <w:pPr>
        <w:pStyle w:val="Compact"/>
        <w:numPr>
          <w:ilvl w:val="0"/>
          <w:numId w:val="1003"/>
        </w:numPr>
      </w:pPr>
      <w:r>
        <w:t xml:space="preserve">AI Sommelier</w:t>
      </w:r>
    </w:p>
    <w:p>
      <w:pPr>
        <w:pStyle w:val="Compact"/>
        <w:numPr>
          <w:ilvl w:val="0"/>
          <w:numId w:val="1003"/>
        </w:numPr>
      </w:pPr>
      <w:r>
        <w:t xml:space="preserve">Personal Wine Cellar</w:t>
      </w:r>
    </w:p>
    <w:p>
      <w:pPr>
        <w:pStyle w:val="Compact"/>
        <w:numPr>
          <w:ilvl w:val="0"/>
          <w:numId w:val="1003"/>
        </w:numPr>
      </w:pPr>
      <w:r>
        <w:t xml:space="preserve">Buying Advisor</w:t>
      </w:r>
    </w:p>
    <w:p>
      <w:pPr>
        <w:pStyle w:val="Compact"/>
        <w:numPr>
          <w:ilvl w:val="0"/>
          <w:numId w:val="1003"/>
        </w:numPr>
      </w:pPr>
      <w:r>
        <w:t xml:space="preserve">Restaurant Wine Advisor</w:t>
      </w:r>
    </w:p>
    <w:p>
      <w:pPr>
        <w:pStyle w:val="Compact"/>
        <w:numPr>
          <w:ilvl w:val="0"/>
          <w:numId w:val="1003"/>
        </w:numPr>
      </w:pPr>
      <w:r>
        <w:t xml:space="preserve">Promotion Analyzer</w:t>
      </w:r>
    </w:p>
    <w:p>
      <w:pPr>
        <w:pStyle w:val="Compact"/>
        <w:numPr>
          <w:ilvl w:val="0"/>
          <w:numId w:val="1003"/>
        </w:numPr>
      </w:pPr>
      <w:r>
        <w:t xml:space="preserve">Deal Intelligence</w:t>
      </w:r>
    </w:p>
    <w:p>
      <w:pPr>
        <w:pStyle w:val="Compact"/>
        <w:numPr>
          <w:ilvl w:val="0"/>
          <w:numId w:val="1003"/>
        </w:numPr>
      </w:pPr>
      <w:r>
        <w:t xml:space="preserve">Learning Companion</w:t>
      </w:r>
    </w:p>
    <w:p>
      <w:pPr>
        <w:pStyle w:val="Compact"/>
        <w:numPr>
          <w:ilvl w:val="0"/>
          <w:numId w:val="1003"/>
        </w:numPr>
      </w:pPr>
      <w:r>
        <w:t xml:space="preserve">Wine Memory</w:t>
      </w:r>
    </w:p>
    <w:p>
      <w:pPr>
        <w:pStyle w:val="Compact"/>
        <w:numPr>
          <w:ilvl w:val="0"/>
          <w:numId w:val="1003"/>
        </w:numPr>
      </w:pPr>
      <w:r>
        <w:t xml:space="preserve">Cellar Intelligence</w:t>
      </w:r>
    </w:p>
    <w:p>
      <w:pPr>
        <w:pStyle w:val="FirstParagraph"/>
      </w:pPr>
      <w:r>
        <w:t xml:space="preserve">These capabilities are not separate products. They contribute to one continuously improving intelligence.</w:t>
      </w:r>
    </w:p>
    <w:p>
      <w:r>
        <w:pict>
          <v:rect style="width:0;height:1.5pt" o:hralign="center" o:hrstd="t" o:hr="t"/>
        </w:pict>
      </w:r>
    </w:p>
    <w:bookmarkEnd w:id="24"/>
    <w:bookmarkStart w:id="32" w:name="product-philosophy"/>
    <w:p>
      <w:pPr>
        <w:pStyle w:val="Heading2"/>
      </w:pPr>
      <w:r>
        <w:t xml:space="preserve">4. Product Philosophy</w:t>
      </w:r>
    </w:p>
    <w:bookmarkStart w:id="25" w:name="personal-before-popular"/>
    <w:p>
      <w:pPr>
        <w:pStyle w:val="Heading3"/>
      </w:pPr>
      <w:r>
        <w:t xml:space="preserve">Personal Before Popular</w:t>
      </w:r>
    </w:p>
    <w:p>
      <w:pPr>
        <w:pStyle w:val="FirstParagraph"/>
      </w:pPr>
      <w:r>
        <w:t xml:space="preserve">Personal experience always outweighs public ratings.</w:t>
      </w:r>
    </w:p>
    <w:p>
      <w:pPr>
        <w:pStyle w:val="BodyText"/>
      </w:pPr>
      <w:r>
        <w:t xml:space="preserve">A highly rated wine is not automatically a good recommendation.</w:t>
      </w:r>
    </w:p>
    <w:p>
      <w:pPr>
        <w:pStyle w:val="BodyText"/>
      </w:pPr>
      <w:r>
        <w:t xml:space="preserve">A wine that consistently matches Alexander’s taste is.</w:t>
      </w:r>
    </w:p>
    <w:p>
      <w:r>
        <w:pict>
          <v:rect style="width:0;height:1.5pt" o:hralign="center" o:hrstd="t" o:hr="t"/>
        </w:pict>
      </w:r>
    </w:p>
    <w:bookmarkEnd w:id="25"/>
    <w:bookmarkStart w:id="26" w:name="memory-creates-value"/>
    <w:p>
      <w:pPr>
        <w:pStyle w:val="Heading3"/>
      </w:pPr>
      <w:r>
        <w:t xml:space="preserve">Memory Creates Value</w:t>
      </w:r>
    </w:p>
    <w:p>
      <w:pPr>
        <w:pStyle w:val="FirstParagraph"/>
      </w:pPr>
      <w:r>
        <w:t xml:space="preserve">VinIQ learns through experience.</w:t>
      </w:r>
    </w:p>
    <w:p>
      <w:pPr>
        <w:pStyle w:val="BodyText"/>
      </w:pPr>
      <w:r>
        <w:t xml:space="preserve">Every purchase, tasting, conversation and recommendation contributes to a richer understanding of the user.</w:t>
      </w:r>
    </w:p>
    <w:p>
      <w:pPr>
        <w:pStyle w:val="BodyText"/>
      </w:pPr>
      <w:r>
        <w:t xml:space="preserve">Memory is the product.</w:t>
      </w:r>
    </w:p>
    <w:p>
      <w:pPr>
        <w:pStyle w:val="BodyText"/>
      </w:pPr>
      <w:r>
        <w:t xml:space="preserve">AI is the mechanism.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-wines"/>
    <w:p>
      <w:pPr>
        <w:pStyle w:val="Heading3"/>
      </w:pPr>
      <w:r>
        <w:t xml:space="preserve">Reference Wines</w:t>
      </w:r>
    </w:p>
    <w:p>
      <w:pPr>
        <w:pStyle w:val="FirstParagraph"/>
      </w:pPr>
      <w:r>
        <w:t xml:space="preserve">VinIQ learns through personal reference wines.</w:t>
      </w:r>
    </w:p>
    <w:p>
      <w:pPr>
        <w:pStyle w:val="BodyText"/>
      </w:pPr>
      <w:r>
        <w:t xml:space="preserve">When Alexander explicitly loves a wine, that wine becomes a long-term benchmark against which future recommendations can be compared.</w:t>
      </w:r>
    </w:p>
    <w:p>
      <w:pPr>
        <w:pStyle w:val="BodyText"/>
      </w:pPr>
      <w:r>
        <w:t xml:space="preserve">Recommendations should be based not only on abstract characteristics such as body, acidity or tannin, but also on similarity to these personal reference wines.</w:t>
      </w:r>
    </w:p>
    <w:p>
      <w:pPr>
        <w:pStyle w:val="BodyText"/>
      </w:pPr>
      <w:r>
        <w:t xml:space="preserve">Reference wines may evolve over time as Alexander’s palate evolves.</w:t>
      </w:r>
    </w:p>
    <w:p>
      <w:r>
        <w:pict>
          <v:rect style="width:0;height:1.5pt" o:hralign="center" o:hrstd="t" o:hr="t"/>
        </w:pict>
      </w:r>
    </w:p>
    <w:bookmarkEnd w:id="27"/>
    <w:bookmarkStart w:id="28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Every recommendation must explain why it exists.</w:t>
      </w:r>
    </w:p>
    <w:p>
      <w:pPr>
        <w:pStyle w:val="BodyText"/>
      </w:pPr>
      <w:r>
        <w:t xml:space="preserve">Recommendations should always be supported by observable evidence rather than unexplained conclusions.</w:t>
      </w:r>
    </w:p>
    <w:p>
      <w:r>
        <w:pict>
          <v:rect style="width:0;height:1.5pt" o:hralign="center" o:hrstd="t" o:hr="t"/>
        </w:pict>
      </w:r>
    </w:p>
    <w:bookmarkEnd w:id="28"/>
    <w:bookmarkStart w:id="29" w:name="confidence-instead-of-certainty"/>
    <w:p>
      <w:pPr>
        <w:pStyle w:val="Heading3"/>
      </w:pPr>
      <w:r>
        <w:t xml:space="preserve">Confidence Instead of Certainty</w:t>
      </w:r>
    </w:p>
    <w:p>
      <w:pPr>
        <w:pStyle w:val="FirstParagraph"/>
      </w:pPr>
      <w:r>
        <w:t xml:space="preserve">Wine is subjective.</w:t>
      </w:r>
    </w:p>
    <w:p>
      <w:pPr>
        <w:pStyle w:val="BodyText"/>
      </w:pPr>
      <w:r>
        <w:t xml:space="preserve">VinIQ communicates confidence rather than certainty.</w:t>
      </w:r>
    </w:p>
    <w:p>
      <w:pPr>
        <w:pStyle w:val="BodyText"/>
      </w:pPr>
      <w:r>
        <w:t xml:space="preserve">Recommendations should acknowledge uncertainty whenever evidence is limited.</w:t>
      </w:r>
    </w:p>
    <w:p>
      <w:r>
        <w:pict>
          <v:rect style="width:0;height:1.5pt" o:hralign="center" o:hrstd="t" o:hr="t"/>
        </w:pict>
      </w:r>
    </w:p>
    <w:bookmarkEnd w:id="29"/>
    <w:bookmarkStart w:id="30" w:name="evolution"/>
    <w:p>
      <w:pPr>
        <w:pStyle w:val="Heading3"/>
      </w:pPr>
      <w:r>
        <w:t xml:space="preserve">Evolution</w:t>
      </w:r>
    </w:p>
    <w:p>
      <w:pPr>
        <w:pStyle w:val="FirstParagraph"/>
      </w:pPr>
      <w:r>
        <w:t xml:space="preserve">Taste changes.</w:t>
      </w:r>
    </w:p>
    <w:p>
      <w:pPr>
        <w:pStyle w:val="BodyText"/>
      </w:pPr>
      <w:r>
        <w:t xml:space="preserve">VinIQ continuously updates its understanding while preserving the user’s tasting history.</w:t>
      </w:r>
    </w:p>
    <w:p>
      <w:r>
        <w:pict>
          <v:rect style="width:0;height:1.5pt" o:hralign="center" o:hrstd="t" o:hr="t"/>
        </w:pict>
      </w:r>
    </w:p>
    <w:bookmarkEnd w:id="30"/>
    <w:bookmarkStart w:id="31" w:name="camera-first-philosophy"/>
    <w:p>
      <w:pPr>
        <w:pStyle w:val="Heading3"/>
      </w:pPr>
      <w:r>
        <w:t xml:space="preserve">Camera-first Philosophy</w:t>
      </w:r>
    </w:p>
    <w:p>
      <w:pPr>
        <w:pStyle w:val="FirstParagraph"/>
      </w:pPr>
      <w:r>
        <w:t xml:space="preserve">The real world is VinIQ’s primary source of input.</w:t>
      </w:r>
    </w:p>
    <w:p>
      <w:pPr>
        <w:pStyle w:val="BodyText"/>
      </w:pPr>
      <w:r>
        <w:t xml:space="preserve">Whenever practical, the application should encourage scanning rather than manual entry.</w:t>
      </w:r>
    </w:p>
    <w:p>
      <w:pPr>
        <w:pStyle w:val="BodyText"/>
      </w:pPr>
      <w:r>
        <w:t xml:space="preserve">Typical interactions include:</w:t>
      </w:r>
    </w:p>
    <w:p>
      <w:pPr>
        <w:pStyle w:val="Compact"/>
        <w:numPr>
          <w:ilvl w:val="0"/>
          <w:numId w:val="1004"/>
        </w:numPr>
      </w:pPr>
      <w:r>
        <w:t xml:space="preserve">bottles</w:t>
      </w:r>
    </w:p>
    <w:p>
      <w:pPr>
        <w:pStyle w:val="Compact"/>
        <w:numPr>
          <w:ilvl w:val="0"/>
          <w:numId w:val="1004"/>
        </w:numPr>
      </w:pPr>
      <w:r>
        <w:t xml:space="preserve">restaurant wine lists</w:t>
      </w:r>
    </w:p>
    <w:p>
      <w:pPr>
        <w:pStyle w:val="Compact"/>
        <w:numPr>
          <w:ilvl w:val="0"/>
          <w:numId w:val="1004"/>
        </w:numPr>
      </w:pPr>
      <w:r>
        <w:t xml:space="preserve">supermarket promotions</w:t>
      </w:r>
    </w:p>
    <w:p>
      <w:pPr>
        <w:pStyle w:val="Compact"/>
        <w:numPr>
          <w:ilvl w:val="0"/>
          <w:numId w:val="1004"/>
        </w:numPr>
      </w:pPr>
      <w:r>
        <w:t xml:space="preserve">cellar bottles</w:t>
      </w:r>
    </w:p>
    <w:p>
      <w:pPr>
        <w:pStyle w:val="FirstParagraph"/>
      </w:pPr>
      <w:r>
        <w:t xml:space="preserve">Manual entry remains available but is the exception.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design-principles"/>
    <w:p>
      <w:pPr>
        <w:pStyle w:val="Heading2"/>
      </w:pPr>
      <w:r>
        <w:t xml:space="preserve">5. Design Principles</w:t>
      </w:r>
    </w:p>
    <w:p>
      <w:pPr>
        <w:pStyle w:val="FirstParagraph"/>
      </w:pPr>
      <w:r>
        <w:t xml:space="preserve">Every feature should reinforce one or more of the following principles.</w:t>
      </w:r>
    </w:p>
    <w:bookmarkStart w:id="33" w:name="save-time"/>
    <w:p>
      <w:pPr>
        <w:pStyle w:val="Heading3"/>
      </w:pPr>
      <w:r>
        <w:t xml:space="preserve">Save Time</w:t>
      </w:r>
    </w:p>
    <w:p>
      <w:pPr>
        <w:pStyle w:val="FirstParagraph"/>
      </w:pPr>
      <w:r>
        <w:t xml:space="preserve">Reduce effort rather than add effort.</w:t>
      </w:r>
    </w:p>
    <w:bookmarkEnd w:id="33"/>
    <w:bookmarkStart w:id="34" w:name="build-confidence"/>
    <w:p>
      <w:pPr>
        <w:pStyle w:val="Heading3"/>
      </w:pPr>
      <w:r>
        <w:t xml:space="preserve">Build Confidence</w:t>
      </w:r>
    </w:p>
    <w:p>
      <w:pPr>
        <w:pStyle w:val="FirstParagraph"/>
      </w:pPr>
      <w:r>
        <w:t xml:space="preserve">Help the user make better wine decisions.</w:t>
      </w:r>
    </w:p>
    <w:bookmarkEnd w:id="34"/>
    <w:bookmarkStart w:id="35" w:name="encourage-discovery"/>
    <w:p>
      <w:pPr>
        <w:pStyle w:val="Heading3"/>
      </w:pPr>
      <w:r>
        <w:t xml:space="preserve">Encourage Discovery</w:t>
      </w:r>
    </w:p>
    <w:p>
      <w:pPr>
        <w:pStyle w:val="FirstParagraph"/>
      </w:pPr>
      <w:r>
        <w:t xml:space="preserve">Recommend wines that mostly fit the established profile while occasionally introducing carefully selected discoveries.</w:t>
      </w:r>
    </w:p>
    <w:bookmarkEnd w:id="35"/>
    <w:bookmarkStart w:id="36" w:name="respect-the-cellar"/>
    <w:p>
      <w:pPr>
        <w:pStyle w:val="Heading3"/>
      </w:pPr>
      <w:r>
        <w:t xml:space="preserve">Respect the Cellar</w:t>
      </w:r>
    </w:p>
    <w:p>
      <w:pPr>
        <w:pStyle w:val="FirstParagraph"/>
      </w:pPr>
      <w:r>
        <w:t xml:space="preserve">Recommendations should always consider the current cellar.</w:t>
      </w:r>
    </w:p>
    <w:bookmarkEnd w:id="36"/>
    <w:bookmarkStart w:id="37" w:name="practical-education"/>
    <w:p>
      <w:pPr>
        <w:pStyle w:val="Heading3"/>
      </w:pPr>
      <w:r>
        <w:t xml:space="preserve">Practical Education</w:t>
      </w:r>
    </w:p>
    <w:p>
      <w:pPr>
        <w:pStyle w:val="FirstParagraph"/>
      </w:pPr>
      <w:r>
        <w:t xml:space="preserve">VinIQ should gradually make Alexander a more knowledgeable wine enthusiast.</w:t>
      </w:r>
    </w:p>
    <w:p>
      <w:pPr>
        <w:pStyle w:val="BodyText"/>
      </w:pPr>
      <w:r>
        <w:t xml:space="preserve">Education should always be practical, contextual and connected to real purchasing and drinking decisions.</w:t>
      </w:r>
    </w:p>
    <w:p>
      <w:pPr>
        <w:pStyle w:val="BodyText"/>
      </w:pPr>
      <w:r>
        <w:t xml:space="preserve">The objective is confidence, not information overload.</w:t>
      </w:r>
    </w:p>
    <w:bookmarkEnd w:id="37"/>
    <w:bookmarkStart w:id="38" w:name="cognitive-simplicity"/>
    <w:p>
      <w:pPr>
        <w:pStyle w:val="Heading3"/>
      </w:pPr>
      <w:r>
        <w:t xml:space="preserve">Cognitive Simplicity</w:t>
      </w:r>
    </w:p>
    <w:p>
      <w:pPr>
        <w:pStyle w:val="FirstParagraph"/>
      </w:pPr>
      <w:r>
        <w:t xml:space="preserve">VinIQ should reduce cognitive effort.</w:t>
      </w:r>
    </w:p>
    <w:p>
      <w:pPr>
        <w:pStyle w:val="BodyText"/>
      </w:pPr>
      <w:r>
        <w:t xml:space="preserve">Whenever possible, intelligence should replace settings, options and manual configuration.</w:t>
      </w:r>
    </w:p>
    <w:p>
      <w:pPr>
        <w:pStyle w:val="BodyText"/>
      </w:pPr>
      <w:r>
        <w:t xml:space="preserve">As the application becomes smarter, it should become simpler.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roduct-standards"/>
    <w:p>
      <w:pPr>
        <w:pStyle w:val="Heading2"/>
      </w:pPr>
      <w:r>
        <w:t xml:space="preserve">6. Product Standards</w:t>
      </w:r>
    </w:p>
    <w:bookmarkStart w:id="40" w:name="koopjeschecker"/>
    <w:p>
      <w:pPr>
        <w:pStyle w:val="Heading3"/>
      </w:pPr>
      <w:r>
        <w:t xml:space="preserve">Koopjeschecker</w:t>
      </w:r>
    </w:p>
    <w:p>
      <w:pPr>
        <w:pStyle w:val="FirstParagraph"/>
      </w:pPr>
      <w:r>
        <w:t xml:space="preserve">Every detailed wine analysis within VinIQ follows the Koopjeschecker framework.</w:t>
      </w:r>
    </w:p>
    <w:p>
      <w:pPr>
        <w:pStyle w:val="BodyText"/>
      </w:pPr>
      <w:r>
        <w:t xml:space="preserve">Whether analysing a bottle, promotion, restaurant wine list or recommendation, the same structured framework is used.</w:t>
      </w:r>
    </w:p>
    <w:p>
      <w:pPr>
        <w:pStyle w:val="BodyText"/>
      </w:pPr>
      <w:r>
        <w:t xml:space="preserve">This guarantees consistency, transparency and explainability throughout the product.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motional-goals"/>
    <w:p>
      <w:pPr>
        <w:pStyle w:val="Heading2"/>
      </w:pPr>
      <w:r>
        <w:t xml:space="preserve">7. Emotional Goals</w:t>
      </w:r>
    </w:p>
    <w:p>
      <w:pPr>
        <w:pStyle w:val="FirstParagraph"/>
      </w:pPr>
      <w:r>
        <w:t xml:space="preserve">The application should leave the user feeling:</w:t>
      </w:r>
    </w:p>
    <w:p>
      <w:pPr>
        <w:pStyle w:val="Compact"/>
        <w:numPr>
          <w:ilvl w:val="0"/>
          <w:numId w:val="1005"/>
        </w:numPr>
      </w:pPr>
      <w:r>
        <w:t xml:space="preserve">confident</w:t>
      </w:r>
    </w:p>
    <w:p>
      <w:pPr>
        <w:pStyle w:val="Compact"/>
        <w:numPr>
          <w:ilvl w:val="0"/>
          <w:numId w:val="1005"/>
        </w:numPr>
      </w:pPr>
      <w:r>
        <w:t xml:space="preserve">understood</w:t>
      </w:r>
    </w:p>
    <w:p>
      <w:pPr>
        <w:pStyle w:val="Compact"/>
        <w:numPr>
          <w:ilvl w:val="0"/>
          <w:numId w:val="1005"/>
        </w:numPr>
      </w:pPr>
      <w:r>
        <w:t xml:space="preserve">curious</w:t>
      </w:r>
    </w:p>
    <w:p>
      <w:pPr>
        <w:pStyle w:val="Compact"/>
        <w:numPr>
          <w:ilvl w:val="0"/>
          <w:numId w:val="1005"/>
        </w:numPr>
      </w:pPr>
      <w:r>
        <w:t xml:space="preserve">excited</w:t>
      </w:r>
    </w:p>
    <w:p>
      <w:pPr>
        <w:pStyle w:val="Compact"/>
        <w:numPr>
          <w:ilvl w:val="0"/>
          <w:numId w:val="1005"/>
        </w:numPr>
      </w:pPr>
      <w:r>
        <w:t xml:space="preserve">proud of the cellar</w:t>
      </w:r>
    </w:p>
    <w:p>
      <w:pPr>
        <w:pStyle w:val="FirstParagraph"/>
      </w:pPr>
      <w:r>
        <w:t xml:space="preserve">Buying and drinking wine should become enjoyable rather than stressful.</w:t>
      </w:r>
    </w:p>
    <w:p>
      <w:r>
        <w:pict>
          <v:rect style="width:0;height:1.5pt" o:hralign="center" o:hrstd="t" o:hr="t"/>
        </w:pict>
      </w:r>
    </w:p>
    <w:bookmarkEnd w:id="42"/>
    <w:bookmarkStart w:id="43" w:name="what-viniq-is-not"/>
    <w:p>
      <w:pPr>
        <w:pStyle w:val="Heading2"/>
      </w:pPr>
      <w:r>
        <w:t xml:space="preserve">8. What VinIQ Is Not</w:t>
      </w:r>
    </w:p>
    <w:p>
      <w:pPr>
        <w:pStyle w:val="FirstParagraph"/>
      </w:pPr>
      <w:r>
        <w:t xml:space="preserve">VinIQ is not:</w:t>
      </w:r>
    </w:p>
    <w:p>
      <w:pPr>
        <w:pStyle w:val="Compact"/>
        <w:numPr>
          <w:ilvl w:val="0"/>
          <w:numId w:val="1006"/>
        </w:numPr>
      </w:pPr>
      <w:r>
        <w:t xml:space="preserve">a Vivino clone</w:t>
      </w:r>
    </w:p>
    <w:p>
      <w:pPr>
        <w:pStyle w:val="Compact"/>
        <w:numPr>
          <w:ilvl w:val="0"/>
          <w:numId w:val="1006"/>
        </w:numPr>
      </w:pPr>
      <w:r>
        <w:t xml:space="preserve">a public wine database</w:t>
      </w:r>
    </w:p>
    <w:p>
      <w:pPr>
        <w:pStyle w:val="Compact"/>
        <w:numPr>
          <w:ilvl w:val="0"/>
          <w:numId w:val="1006"/>
        </w:numPr>
      </w:pPr>
      <w:r>
        <w:t xml:space="preserve">a review platform</w:t>
      </w:r>
    </w:p>
    <w:p>
      <w:pPr>
        <w:pStyle w:val="Compact"/>
        <w:numPr>
          <w:ilvl w:val="0"/>
          <w:numId w:val="1006"/>
        </w:numPr>
      </w:pPr>
      <w:r>
        <w:t xml:space="preserve">a social network</w:t>
      </w:r>
    </w:p>
    <w:p>
      <w:pPr>
        <w:pStyle w:val="Compact"/>
        <w:numPr>
          <w:ilvl w:val="0"/>
          <w:numId w:val="1006"/>
        </w:numPr>
      </w:pPr>
      <w:r>
        <w:t xml:space="preserve">a generic chatbot</w:t>
      </w:r>
    </w:p>
    <w:p>
      <w:pPr>
        <w:pStyle w:val="FirstParagraph"/>
      </w:pPr>
      <w:r>
        <w:t xml:space="preserve">Every feature should directly improve wine decisions.</w:t>
      </w:r>
    </w:p>
    <w:p>
      <w:r>
        <w:pict>
          <v:rect style="width:0;height:1.5pt" o:hralign="center" o:hrstd="t" o:hr="t"/>
        </w:pict>
      </w:r>
    </w:p>
    <w:bookmarkEnd w:id="43"/>
    <w:bookmarkStart w:id="44" w:name="long-term-vision"/>
    <w:p>
      <w:pPr>
        <w:pStyle w:val="Heading2"/>
      </w:pPr>
      <w:r>
        <w:t xml:space="preserve">9. Long-Term Vision</w:t>
      </w:r>
    </w:p>
    <w:p>
      <w:pPr>
        <w:pStyle w:val="FirstParagraph"/>
      </w:pPr>
      <w:r>
        <w:t xml:space="preserve">VinIQ should eventually know Alexander’s wine preferences better than Alexander himself.</w:t>
      </w:r>
    </w:p>
    <w:p>
      <w:pPr>
        <w:pStyle w:val="BodyText"/>
      </w:pPr>
      <w:r>
        <w:t xml:space="preserve">Its ultimate objective is to guide the long-term evolution of his cellar with the judgement of a trusted personal sommelier.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chapter-2-the-viniq-intelligence-model"/>
    <w:p>
      <w:pPr>
        <w:pStyle w:val="Heading1"/>
      </w:pPr>
      <w:r>
        <w:t xml:space="preserve">Chapter 2 — The VinIQ Intelligence Model</w:t>
      </w:r>
    </w:p>
    <w:bookmarkStart w:id="46" w:name="purpose-1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Intelligence Model defines how VinIQ transforms information into personalised advice.</w:t>
      </w:r>
    </w:p>
    <w:p>
      <w:pPr>
        <w:pStyle w:val="BodyText"/>
      </w:pPr>
      <w:r>
        <w:t xml:space="preserve">Rather than answering questions from a database, VinIQ reasons through the perspective of Alexander.</w:t>
      </w:r>
    </w:p>
    <w:p>
      <w:r>
        <w:pict>
          <v:rect style="width:0;height:1.5pt" o:hralign="center" o:hrstd="t" o:hr="t"/>
        </w:pict>
      </w:r>
    </w:p>
    <w:bookmarkEnd w:id="46"/>
    <w:bookmarkStart w:id="51" w:name="intelligence-layers"/>
    <w:p>
      <w:pPr>
        <w:pStyle w:val="Heading2"/>
      </w:pPr>
      <w:r>
        <w:t xml:space="preserve">2. Intelligence Layers</w:t>
      </w:r>
    </w:p>
    <w:p>
      <w:pPr>
        <w:pStyle w:val="FirstParagraph"/>
      </w:pPr>
      <w:r>
        <w:t xml:space="preserve">Every recommendation combines four independent sources of intelligence.</w:t>
      </w:r>
    </w:p>
    <w:bookmarkStart w:id="47" w:name="layer-1-universal-wine-knowledge"/>
    <w:p>
      <w:pPr>
        <w:pStyle w:val="Heading3"/>
      </w:pPr>
      <w:r>
        <w:t xml:space="preserve">Layer 1 — Universal Wine Knowledge</w:t>
      </w:r>
    </w:p>
    <w:p>
      <w:pPr>
        <w:pStyle w:val="FirstParagraph"/>
      </w:pPr>
      <w:r>
        <w:t xml:space="preserve">Objective wine knowledge including:</w:t>
      </w:r>
    </w:p>
    <w:p>
      <w:pPr>
        <w:pStyle w:val="Compact"/>
        <w:numPr>
          <w:ilvl w:val="0"/>
          <w:numId w:val="1007"/>
        </w:numPr>
      </w:pPr>
      <w:r>
        <w:t xml:space="preserve">grape varieties</w:t>
      </w:r>
    </w:p>
    <w:p>
      <w:pPr>
        <w:pStyle w:val="Compact"/>
        <w:numPr>
          <w:ilvl w:val="0"/>
          <w:numId w:val="1007"/>
        </w:numPr>
      </w:pPr>
      <w:r>
        <w:t xml:space="preserve">regions</w:t>
      </w:r>
    </w:p>
    <w:p>
      <w:pPr>
        <w:pStyle w:val="Compact"/>
        <w:numPr>
          <w:ilvl w:val="0"/>
          <w:numId w:val="1007"/>
        </w:numPr>
      </w:pPr>
      <w:r>
        <w:t xml:space="preserve">producers</w:t>
      </w:r>
    </w:p>
    <w:p>
      <w:pPr>
        <w:pStyle w:val="Compact"/>
        <w:numPr>
          <w:ilvl w:val="0"/>
          <w:numId w:val="1007"/>
        </w:numPr>
      </w:pPr>
      <w:r>
        <w:t xml:space="preserve">vintages</w:t>
      </w:r>
    </w:p>
    <w:p>
      <w:pPr>
        <w:pStyle w:val="Compact"/>
        <w:numPr>
          <w:ilvl w:val="0"/>
          <w:numId w:val="1007"/>
        </w:numPr>
      </w:pPr>
      <w:r>
        <w:t xml:space="preserve">terroir</w:t>
      </w:r>
    </w:p>
    <w:p>
      <w:pPr>
        <w:pStyle w:val="Compact"/>
        <w:numPr>
          <w:ilvl w:val="0"/>
          <w:numId w:val="1007"/>
        </w:numPr>
      </w:pPr>
      <w:r>
        <w:t xml:space="preserve">wine styles</w:t>
      </w:r>
    </w:p>
    <w:p>
      <w:pPr>
        <w:pStyle w:val="Compact"/>
        <w:numPr>
          <w:ilvl w:val="0"/>
          <w:numId w:val="1007"/>
        </w:numPr>
      </w:pPr>
      <w:r>
        <w:t xml:space="preserve">ageing</w:t>
      </w:r>
    </w:p>
    <w:p>
      <w:pPr>
        <w:pStyle w:val="Compact"/>
        <w:numPr>
          <w:ilvl w:val="0"/>
          <w:numId w:val="1007"/>
        </w:numPr>
      </w:pPr>
      <w:r>
        <w:t xml:space="preserve">food pairing</w:t>
      </w:r>
    </w:p>
    <w:p>
      <w:r>
        <w:pict>
          <v:rect style="width:0;height:1.5pt" o:hralign="center" o:hrstd="t" o:hr="t"/>
        </w:pict>
      </w:r>
    </w:p>
    <w:bookmarkEnd w:id="47"/>
    <w:bookmarkStart w:id="48" w:name="layer-2-personal-knowledge"/>
    <w:p>
      <w:pPr>
        <w:pStyle w:val="Heading3"/>
      </w:pPr>
      <w:r>
        <w:t xml:space="preserve">Layer 2 — Personal Knowledge</w:t>
      </w:r>
    </w:p>
    <w:p>
      <w:pPr>
        <w:pStyle w:val="FirstParagraph"/>
      </w:pPr>
      <w:r>
        <w:t xml:space="preserve">Alexander’s evolving taste profile, including:</w:t>
      </w:r>
    </w:p>
    <w:p>
      <w:pPr>
        <w:pStyle w:val="Compact"/>
        <w:numPr>
          <w:ilvl w:val="0"/>
          <w:numId w:val="1008"/>
        </w:numPr>
      </w:pPr>
      <w:r>
        <w:t xml:space="preserve">preferences</w:t>
      </w:r>
    </w:p>
    <w:p>
      <w:pPr>
        <w:pStyle w:val="Compact"/>
        <w:numPr>
          <w:ilvl w:val="0"/>
          <w:numId w:val="1008"/>
        </w:numPr>
      </w:pPr>
      <w:r>
        <w:t xml:space="preserve">dislikes</w:t>
      </w:r>
    </w:p>
    <w:p>
      <w:pPr>
        <w:pStyle w:val="Compact"/>
        <w:numPr>
          <w:ilvl w:val="0"/>
          <w:numId w:val="1008"/>
        </w:numPr>
      </w:pPr>
      <w:r>
        <w:t xml:space="preserve">reference wines</w:t>
      </w:r>
    </w:p>
    <w:p>
      <w:pPr>
        <w:pStyle w:val="Compact"/>
        <w:numPr>
          <w:ilvl w:val="0"/>
          <w:numId w:val="1008"/>
        </w:numPr>
      </w:pPr>
      <w:r>
        <w:t xml:space="preserve">purchasing habits</w:t>
      </w:r>
    </w:p>
    <w:p>
      <w:pPr>
        <w:pStyle w:val="Compact"/>
        <w:numPr>
          <w:ilvl w:val="0"/>
          <w:numId w:val="1008"/>
        </w:numPr>
      </w:pPr>
      <w:r>
        <w:t xml:space="preserve">tasting history</w:t>
      </w:r>
    </w:p>
    <w:p>
      <w:r>
        <w:pict>
          <v:rect style="width:0;height:1.5pt" o:hralign="center" o:hrstd="t" o:hr="t"/>
        </w:pict>
      </w:r>
    </w:p>
    <w:bookmarkEnd w:id="48"/>
    <w:bookmarkStart w:id="49" w:name="layer-3-context"/>
    <w:p>
      <w:pPr>
        <w:pStyle w:val="Heading3"/>
      </w:pPr>
      <w:r>
        <w:t xml:space="preserve">Layer 3 — Context</w:t>
      </w:r>
    </w:p>
    <w:p>
      <w:pPr>
        <w:pStyle w:val="FirstParagraph"/>
      </w:pPr>
      <w:r>
        <w:t xml:space="preserve">Current circumstances such as:</w:t>
      </w:r>
    </w:p>
    <w:p>
      <w:pPr>
        <w:pStyle w:val="Compact"/>
        <w:numPr>
          <w:ilvl w:val="0"/>
          <w:numId w:val="1009"/>
        </w:numPr>
      </w:pPr>
      <w:r>
        <w:t xml:space="preserve">cellar contents</w:t>
      </w:r>
    </w:p>
    <w:p>
      <w:pPr>
        <w:pStyle w:val="Compact"/>
        <w:numPr>
          <w:ilvl w:val="0"/>
          <w:numId w:val="1009"/>
        </w:numPr>
      </w:pPr>
      <w:r>
        <w:t xml:space="preserve">promotions</w:t>
      </w:r>
    </w:p>
    <w:p>
      <w:pPr>
        <w:pStyle w:val="Compact"/>
        <w:numPr>
          <w:ilvl w:val="0"/>
          <w:numId w:val="1009"/>
        </w:numPr>
      </w:pPr>
      <w:r>
        <w:t xml:space="preserve">restaurant wine lists</w:t>
      </w:r>
    </w:p>
    <w:p>
      <w:pPr>
        <w:pStyle w:val="Compact"/>
        <w:numPr>
          <w:ilvl w:val="0"/>
          <w:numId w:val="1009"/>
        </w:numPr>
      </w:pPr>
      <w:r>
        <w:t xml:space="preserve">food</w:t>
      </w:r>
    </w:p>
    <w:p>
      <w:pPr>
        <w:pStyle w:val="Compact"/>
        <w:numPr>
          <w:ilvl w:val="0"/>
          <w:numId w:val="1009"/>
        </w:numPr>
      </w:pPr>
      <w:r>
        <w:t xml:space="preserve">season</w:t>
      </w:r>
    </w:p>
    <w:p>
      <w:pPr>
        <w:pStyle w:val="Compact"/>
        <w:numPr>
          <w:ilvl w:val="0"/>
          <w:numId w:val="1009"/>
        </w:numPr>
      </w:pPr>
      <w:r>
        <w:t xml:space="preserve">occasion</w:t>
      </w:r>
    </w:p>
    <w:p>
      <w:pPr>
        <w:pStyle w:val="Compact"/>
        <w:numPr>
          <w:ilvl w:val="0"/>
          <w:numId w:val="1009"/>
        </w:numPr>
      </w:pPr>
      <w:r>
        <w:t xml:space="preserve">budget</w:t>
      </w:r>
    </w:p>
    <w:p>
      <w:r>
        <w:pict>
          <v:rect style="width:0;height:1.5pt" o:hralign="center" o:hrstd="t" o:hr="t"/>
        </w:pict>
      </w:r>
    </w:p>
    <w:bookmarkEnd w:id="49"/>
    <w:bookmarkStart w:id="50" w:name="layer-4-historical-learning"/>
    <w:p>
      <w:pPr>
        <w:pStyle w:val="Heading3"/>
      </w:pPr>
      <w:r>
        <w:t xml:space="preserve">Layer 4 — Historical Learning</w:t>
      </w:r>
    </w:p>
    <w:p>
      <w:pPr>
        <w:pStyle w:val="FirstParagraph"/>
      </w:pPr>
      <w:r>
        <w:t xml:space="preserve">Observed behaviour over time, including:</w:t>
      </w:r>
    </w:p>
    <w:p>
      <w:pPr>
        <w:pStyle w:val="Compact"/>
        <w:numPr>
          <w:ilvl w:val="0"/>
          <w:numId w:val="1010"/>
        </w:numPr>
      </w:pPr>
      <w:r>
        <w:t xml:space="preserve">purchases</w:t>
      </w:r>
    </w:p>
    <w:p>
      <w:pPr>
        <w:pStyle w:val="Compact"/>
        <w:numPr>
          <w:ilvl w:val="0"/>
          <w:numId w:val="1010"/>
        </w:numPr>
      </w:pPr>
      <w:r>
        <w:t xml:space="preserve">tastings</w:t>
      </w:r>
    </w:p>
    <w:p>
      <w:pPr>
        <w:pStyle w:val="Compact"/>
        <w:numPr>
          <w:ilvl w:val="0"/>
          <w:numId w:val="1010"/>
        </w:numPr>
      </w:pPr>
      <w:r>
        <w:t xml:space="preserve">conversations</w:t>
      </w:r>
    </w:p>
    <w:p>
      <w:pPr>
        <w:pStyle w:val="Compact"/>
        <w:numPr>
          <w:ilvl w:val="0"/>
          <w:numId w:val="1010"/>
        </w:numPr>
      </w:pPr>
      <w:r>
        <w:t xml:space="preserve">accepted recommendations</w:t>
      </w:r>
    </w:p>
    <w:p>
      <w:pPr>
        <w:pStyle w:val="Compact"/>
        <w:numPr>
          <w:ilvl w:val="0"/>
          <w:numId w:val="1010"/>
        </w:numPr>
      </w:pPr>
      <w:r>
        <w:t xml:space="preserve">rejected recommendations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cision-hierarchy"/>
    <w:p>
      <w:pPr>
        <w:pStyle w:val="Heading2"/>
      </w:pPr>
      <w:r>
        <w:t xml:space="preserve">3. Decision Hierarchy</w:t>
      </w:r>
    </w:p>
    <w:p>
      <w:pPr>
        <w:pStyle w:val="FirstParagraph"/>
      </w:pPr>
      <w:r>
        <w:t xml:space="preserve">When information conflicts, VinIQ follows this order:</w:t>
      </w:r>
    </w:p>
    <w:p>
      <w:pPr>
        <w:pStyle w:val="Compact"/>
        <w:numPr>
          <w:ilvl w:val="0"/>
          <w:numId w:val="1011"/>
        </w:numPr>
      </w:pPr>
      <w:r>
        <w:t xml:space="preserve">Explicit user feedback</w:t>
      </w:r>
    </w:p>
    <w:p>
      <w:pPr>
        <w:pStyle w:val="Compact"/>
        <w:numPr>
          <w:ilvl w:val="0"/>
          <w:numId w:val="1011"/>
        </w:numPr>
      </w:pPr>
      <w:r>
        <w:t xml:space="preserve">Repeated observed behaviour</w:t>
      </w:r>
    </w:p>
    <w:p>
      <w:pPr>
        <w:pStyle w:val="Compact"/>
        <w:numPr>
          <w:ilvl w:val="0"/>
          <w:numId w:val="1011"/>
        </w:numPr>
      </w:pPr>
      <w:r>
        <w:t xml:space="preserve">Current context</w:t>
      </w:r>
    </w:p>
    <w:p>
      <w:pPr>
        <w:pStyle w:val="Compact"/>
        <w:numPr>
          <w:ilvl w:val="0"/>
          <w:numId w:val="1011"/>
        </w:numPr>
      </w:pPr>
      <w:r>
        <w:t xml:space="preserve">Universal wine knowledge</w:t>
      </w:r>
    </w:p>
    <w:p>
      <w:pPr>
        <w:pStyle w:val="Compact"/>
        <w:numPr>
          <w:ilvl w:val="0"/>
          <w:numId w:val="1011"/>
        </w:numPr>
      </w:pPr>
      <w:r>
        <w:t xml:space="preserve">Public ratings</w:t>
      </w:r>
    </w:p>
    <w:p>
      <w:pPr>
        <w:pStyle w:val="FirstParagraph"/>
      </w:pPr>
      <w:r>
        <w:t xml:space="preserve">This hierarchy is fundamental to the product.</w:t>
      </w:r>
    </w:p>
    <w:p>
      <w:r>
        <w:pict>
          <v:rect style="width:0;height:1.5pt" o:hralign="center" o:hrstd="t" o:hr="t"/>
        </w:pict>
      </w:r>
    </w:p>
    <w:bookmarkEnd w:id="52"/>
    <w:bookmarkStart w:id="53" w:name="explainability-1"/>
    <w:p>
      <w:pPr>
        <w:pStyle w:val="Heading2"/>
      </w:pPr>
      <w:r>
        <w:t xml:space="preserve">4. Explainability</w:t>
      </w:r>
    </w:p>
    <w:p>
      <w:pPr>
        <w:pStyle w:val="FirstParagraph"/>
      </w:pPr>
      <w:r>
        <w:t xml:space="preserve">Every recommendation should answer:</w:t>
      </w:r>
    </w:p>
    <w:p>
      <w:pPr>
        <w:pStyle w:val="Compact"/>
        <w:numPr>
          <w:ilvl w:val="0"/>
          <w:numId w:val="1012"/>
        </w:numPr>
      </w:pPr>
      <w:r>
        <w:t xml:space="preserve">Why is this recommended?</w:t>
      </w:r>
    </w:p>
    <w:p>
      <w:pPr>
        <w:pStyle w:val="Compact"/>
        <w:numPr>
          <w:ilvl w:val="0"/>
          <w:numId w:val="1012"/>
        </w:numPr>
      </w:pPr>
      <w:r>
        <w:t xml:space="preserve">Which evidence supports it?</w:t>
      </w:r>
    </w:p>
    <w:p>
      <w:pPr>
        <w:pStyle w:val="Compact"/>
        <w:numPr>
          <w:ilvl w:val="0"/>
          <w:numId w:val="1012"/>
        </w:numPr>
      </w:pPr>
      <w:r>
        <w:t xml:space="preserve">How confident is VinIQ?</w:t>
      </w:r>
    </w:p>
    <w:p>
      <w:pPr>
        <w:pStyle w:val="FirstParagraph"/>
      </w:pPr>
      <w:r>
        <w:t xml:space="preserve">Recommendations should never appear arbitrary.</w:t>
      </w:r>
    </w:p>
    <w:p>
      <w:r>
        <w:pict>
          <v:rect style="width:0;height:1.5pt" o:hralign="center" o:hrstd="t" o:hr="t"/>
        </w:pict>
      </w:r>
    </w:p>
    <w:bookmarkEnd w:id="53"/>
    <w:bookmarkStart w:id="54" w:name="confidence"/>
    <w:p>
      <w:pPr>
        <w:pStyle w:val="Heading2"/>
      </w:pPr>
      <w:r>
        <w:t xml:space="preserve">5. Confidence</w:t>
      </w:r>
    </w:p>
    <w:p>
      <w:pPr>
        <w:pStyle w:val="FirstParagraph"/>
      </w:pPr>
      <w:r>
        <w:t xml:space="preserve">Recommendations are expressed with:</w:t>
      </w:r>
    </w:p>
    <w:p>
      <w:pPr>
        <w:pStyle w:val="Compact"/>
        <w:numPr>
          <w:ilvl w:val="0"/>
          <w:numId w:val="1013"/>
        </w:numPr>
      </w:pPr>
      <w:r>
        <w:t xml:space="preserve">High confidence</w:t>
      </w:r>
    </w:p>
    <w:p>
      <w:pPr>
        <w:pStyle w:val="Compact"/>
        <w:numPr>
          <w:ilvl w:val="0"/>
          <w:numId w:val="1013"/>
        </w:numPr>
      </w:pPr>
      <w:r>
        <w:t xml:space="preserve">Medium confidence</w:t>
      </w:r>
    </w:p>
    <w:p>
      <w:pPr>
        <w:pStyle w:val="Compact"/>
        <w:numPr>
          <w:ilvl w:val="0"/>
          <w:numId w:val="1013"/>
        </w:numPr>
      </w:pPr>
      <w:r>
        <w:t xml:space="preserve">Low confidence</w:t>
      </w:r>
    </w:p>
    <w:p>
      <w:pPr>
        <w:pStyle w:val="FirstParagraph"/>
      </w:pPr>
      <w:r>
        <w:t xml:space="preserve">Confidence reflects available evidence rather than wine quality.</w:t>
      </w:r>
    </w:p>
    <w:p>
      <w:r>
        <w:pict>
          <v:rect style="width:0;height:1.5pt" o:hralign="center" o:hrstd="t" o:hr="t"/>
        </w:pict>
      </w:r>
    </w:p>
    <w:bookmarkEnd w:id="54"/>
    <w:bookmarkStart w:id="55" w:name="learning-behaviour"/>
    <w:p>
      <w:pPr>
        <w:pStyle w:val="Heading2"/>
      </w:pPr>
      <w:r>
        <w:t xml:space="preserve">6. Learning Behaviour</w:t>
      </w:r>
    </w:p>
    <w:p>
      <w:pPr>
        <w:pStyle w:val="FirstParagraph"/>
      </w:pPr>
      <w:r>
        <w:t xml:space="preserve">VinIQ updates beliefs gradually.</w:t>
      </w:r>
    </w:p>
    <w:p>
      <w:pPr>
        <w:pStyle w:val="BodyText"/>
      </w:pPr>
      <w:r>
        <w:t xml:space="preserve">Single experiences should not redefine the user’s taste.</w:t>
      </w:r>
    </w:p>
    <w:p>
      <w:pPr>
        <w:pStyle w:val="BodyText"/>
      </w:pPr>
      <w:r>
        <w:t xml:space="preserve">Repeated behaviour should.</w:t>
      </w:r>
    </w:p>
    <w:p>
      <w:pPr>
        <w:pStyle w:val="BodyText"/>
      </w:pPr>
      <w:r>
        <w:t xml:space="preserve">The system becomes more accurate over time without overreacting to isolated events.</w:t>
      </w:r>
    </w:p>
    <w:p>
      <w:r>
        <w:pict>
          <v:rect style="width:0;height:1.5pt" o:hralign="center" o:hrstd="t" o:hr="t"/>
        </w:pict>
      </w:r>
    </w:p>
    <w:bookmarkEnd w:id="55"/>
    <w:bookmarkStart w:id="56" w:name="quality-requirements"/>
    <w:p>
      <w:pPr>
        <w:pStyle w:val="Heading2"/>
      </w:pPr>
      <w:r>
        <w:t xml:space="preserve">7. Quality Requirements</w:t>
      </w:r>
    </w:p>
    <w:p>
      <w:pPr>
        <w:pStyle w:val="FirstParagraph"/>
      </w:pPr>
      <w:r>
        <w:t xml:space="preserve">The Intelligence Model must remain:</w:t>
      </w:r>
    </w:p>
    <w:p>
      <w:pPr>
        <w:pStyle w:val="Compact"/>
        <w:numPr>
          <w:ilvl w:val="0"/>
          <w:numId w:val="1014"/>
        </w:numPr>
      </w:pPr>
      <w:r>
        <w:t xml:space="preserve">explainable</w:t>
      </w:r>
    </w:p>
    <w:p>
      <w:pPr>
        <w:pStyle w:val="Compact"/>
        <w:numPr>
          <w:ilvl w:val="0"/>
          <w:numId w:val="1014"/>
        </w:numPr>
      </w:pPr>
      <w:r>
        <w:t xml:space="preserve">consistent</w:t>
      </w:r>
    </w:p>
    <w:p>
      <w:pPr>
        <w:pStyle w:val="Compact"/>
        <w:numPr>
          <w:ilvl w:val="0"/>
          <w:numId w:val="1014"/>
        </w:numPr>
      </w:pPr>
      <w:r>
        <w:t xml:space="preserve">adaptive</w:t>
      </w:r>
    </w:p>
    <w:p>
      <w:pPr>
        <w:pStyle w:val="Compact"/>
        <w:numPr>
          <w:ilvl w:val="0"/>
          <w:numId w:val="1014"/>
        </w:numPr>
      </w:pPr>
      <w:r>
        <w:t xml:space="preserve">transparent</w:t>
      </w:r>
    </w:p>
    <w:p>
      <w:pPr>
        <w:pStyle w:val="Compact"/>
        <w:numPr>
          <w:ilvl w:val="0"/>
          <w:numId w:val="1014"/>
        </w:numPr>
      </w:pPr>
      <w:r>
        <w:t xml:space="preserve">evidence-based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7" w:name="chapter-3-core-domain-model"/>
    <w:p>
      <w:pPr>
        <w:pStyle w:val="Heading1"/>
      </w:pPr>
      <w:r>
        <w:t xml:space="preserve">Chapter 3 — Core Domain Model</w:t>
      </w:r>
    </w:p>
    <w:bookmarkStart w:id="58" w:name="purpose-2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Core Domain Model establishes the shared vocabulary used throughout VinIQ.</w:t>
      </w:r>
    </w:p>
    <w:p>
      <w:pPr>
        <w:pStyle w:val="BodyText"/>
      </w:pPr>
      <w:r>
        <w:t xml:space="preserve">All features, AI reasoning and future development should use these concepts consistently.</w:t>
      </w:r>
    </w:p>
    <w:p>
      <w:r>
        <w:pict>
          <v:rect style="width:0;height:1.5pt" o:hralign="center" o:hrstd="t" o:hr="t"/>
        </w:pict>
      </w:r>
    </w:p>
    <w:bookmarkEnd w:id="58"/>
    <w:bookmarkStart w:id="73" w:name="core-entities"/>
    <w:p>
      <w:pPr>
        <w:pStyle w:val="Heading2"/>
      </w:pPr>
      <w:r>
        <w:t xml:space="preserve">2. Core Entities</w:t>
      </w:r>
    </w:p>
    <w:bookmarkStart w:id="59" w:name="wine"/>
    <w:p>
      <w:pPr>
        <w:pStyle w:val="Heading3"/>
      </w:pPr>
      <w:r>
        <w:t xml:space="preserve">Wine</w:t>
      </w:r>
    </w:p>
    <w:p>
      <w:pPr>
        <w:pStyle w:val="FirstParagraph"/>
      </w:pPr>
      <w:r>
        <w:t xml:space="preserve">The identity of a wine.</w:t>
      </w:r>
    </w:p>
    <w:p>
      <w:pPr>
        <w:pStyle w:val="BodyText"/>
      </w:pPr>
      <w:r>
        <w:t xml:space="preserve">Includes producer, cuvée, vintage, region, appellation, grape composition and style.</w:t>
      </w:r>
    </w:p>
    <w:p>
      <w:r>
        <w:pict>
          <v:rect style="width:0;height:1.5pt" o:hralign="center" o:hrstd="t" o:hr="t"/>
        </w:pict>
      </w:r>
    </w:p>
    <w:bookmarkEnd w:id="59"/>
    <w:bookmarkStart w:id="60" w:name="bottle"/>
    <w:p>
      <w:pPr>
        <w:pStyle w:val="Heading3"/>
      </w:pPr>
      <w:r>
        <w:t xml:space="preserve">Bottle</w:t>
      </w:r>
    </w:p>
    <w:p>
      <w:pPr>
        <w:pStyle w:val="FirstParagraph"/>
      </w:pPr>
      <w:r>
        <w:t xml:space="preserve">A physical bottle owned or previously owned.</w:t>
      </w:r>
    </w:p>
    <w:p>
      <w:pPr>
        <w:pStyle w:val="BodyText"/>
      </w:pPr>
      <w:r>
        <w:t xml:space="preserve">Includes purchase information, storage location and lifecycle status.</w:t>
      </w:r>
    </w:p>
    <w:p>
      <w:pPr>
        <w:pStyle w:val="BodyText"/>
      </w:pPr>
      <w:r>
        <w:t xml:space="preserve">Multiple bottles may reference the same wine.</w:t>
      </w:r>
    </w:p>
    <w:p>
      <w:r>
        <w:pict>
          <v:rect style="width:0;height:1.5pt" o:hralign="center" o:hrstd="t" o:hr="t"/>
        </w:pict>
      </w:r>
    </w:p>
    <w:bookmarkEnd w:id="60"/>
    <w:bookmarkStart w:id="61" w:name="cellar"/>
    <w:p>
      <w:pPr>
        <w:pStyle w:val="Heading3"/>
      </w:pPr>
      <w:r>
        <w:t xml:space="preserve">Cellar</w:t>
      </w:r>
    </w:p>
    <w:p>
      <w:pPr>
        <w:pStyle w:val="FirstParagraph"/>
      </w:pPr>
      <w:r>
        <w:t xml:space="preserve">The authoritative inventory of owned bottles.</w:t>
      </w:r>
    </w:p>
    <w:p>
      <w:pPr>
        <w:pStyle w:val="BodyText"/>
      </w:pPr>
      <w:r>
        <w:t xml:space="preserve">The cellar is the single source of truth.</w:t>
      </w:r>
    </w:p>
    <w:p>
      <w:r>
        <w:pict>
          <v:rect style="width:0;height:1.5pt" o:hralign="center" o:hrstd="t" o:hr="t"/>
        </w:pict>
      </w:r>
    </w:p>
    <w:bookmarkEnd w:id="61"/>
    <w:bookmarkStart w:id="62" w:name="purchase"/>
    <w:p>
      <w:pPr>
        <w:pStyle w:val="Heading3"/>
      </w:pPr>
      <w:r>
        <w:t xml:space="preserve">Purchase</w:t>
      </w:r>
    </w:p>
    <w:p>
      <w:pPr>
        <w:pStyle w:val="FirstParagraph"/>
      </w:pPr>
      <w:r>
        <w:t xml:space="preserve">Represents the acquisition of one or more bottles.</w:t>
      </w:r>
    </w:p>
    <w:p>
      <w:pPr>
        <w:pStyle w:val="BodyText"/>
      </w:pPr>
      <w:r>
        <w:t xml:space="preserve">Includes retailer, quantity, price and purchase context.</w:t>
      </w:r>
    </w:p>
    <w:p>
      <w:r>
        <w:pict>
          <v:rect style="width:0;height:1.5pt" o:hralign="center" o:hrstd="t" o:hr="t"/>
        </w:pict>
      </w:r>
    </w:p>
    <w:bookmarkEnd w:id="62"/>
    <w:bookmarkStart w:id="63" w:name="tasting"/>
    <w:p>
      <w:pPr>
        <w:pStyle w:val="Heading3"/>
      </w:pPr>
      <w:r>
        <w:t xml:space="preserve">Tasting</w:t>
      </w:r>
    </w:p>
    <w:p>
      <w:pPr>
        <w:pStyle w:val="FirstParagraph"/>
      </w:pPr>
      <w:r>
        <w:t xml:space="preserve">Represents a personal tasting experience.</w:t>
      </w:r>
    </w:p>
    <w:p>
      <w:pPr>
        <w:pStyle w:val="BodyText"/>
      </w:pPr>
      <w:r>
        <w:t xml:space="preserve">Historical tastings are preserved and never overwritten.</w:t>
      </w:r>
    </w:p>
    <w:p>
      <w:r>
        <w:pict>
          <v:rect style="width:0;height:1.5pt" o:hralign="center" o:hrstd="t" o:hr="t"/>
        </w:pict>
      </w:r>
    </w:p>
    <w:bookmarkEnd w:id="63"/>
    <w:bookmarkStart w:id="64" w:name="preference"/>
    <w:p>
      <w:pPr>
        <w:pStyle w:val="Heading3"/>
      </w:pPr>
      <w:r>
        <w:t xml:space="preserve">Preference</w:t>
      </w:r>
    </w:p>
    <w:p>
      <w:pPr>
        <w:pStyle w:val="FirstParagraph"/>
      </w:pPr>
      <w:r>
        <w:t xml:space="preserve">Represents explicit or inferred taste characteristics.</w:t>
      </w:r>
    </w:p>
    <w:p>
      <w:pPr>
        <w:pStyle w:val="BodyText"/>
      </w:pPr>
      <w:r>
        <w:t xml:space="preserve">Preferences evolve over time.</w:t>
      </w:r>
    </w:p>
    <w:p>
      <w:r>
        <w:pict>
          <v:rect style="width:0;height:1.5pt" o:hralign="center" o:hrstd="t" o:hr="t"/>
        </w:pict>
      </w:r>
    </w:p>
    <w:bookmarkEnd w:id="64"/>
    <w:bookmarkStart w:id="65" w:name="reference-wine"/>
    <w:p>
      <w:pPr>
        <w:pStyle w:val="Heading3"/>
      </w:pPr>
      <w:r>
        <w:t xml:space="preserve">Reference Wine</w:t>
      </w:r>
    </w:p>
    <w:p>
      <w:pPr>
        <w:pStyle w:val="FirstParagraph"/>
      </w:pPr>
      <w:r>
        <w:t xml:space="preserve">A wine explicitly identified as a long-term benchmark for Alexander’s taste.</w:t>
      </w:r>
    </w:p>
    <w:p>
      <w:pPr>
        <w:pStyle w:val="BodyText"/>
      </w:pPr>
      <w:r>
        <w:t xml:space="preserve">Reference wines influence future recommendations and provide meaningful comparison points.</w:t>
      </w:r>
    </w:p>
    <w:p>
      <w:r>
        <w:pict>
          <v:rect style="width:0;height:1.5pt" o:hralign="center" o:hrstd="t" o:hr="t"/>
        </w:pict>
      </w:r>
    </w:p>
    <w:bookmarkEnd w:id="65"/>
    <w:bookmarkStart w:id="66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 personalised suggestion supported by evidence and accompanied by a confidence level.</w:t>
      </w:r>
    </w:p>
    <w:p>
      <w:pPr>
        <w:pStyle w:val="BodyText"/>
      </w:pPr>
      <w:r>
        <w:t xml:space="preserve">Recommendations are generated dynamically and are not permanent facts.</w:t>
      </w:r>
    </w:p>
    <w:p>
      <w:r>
        <w:pict>
          <v:rect style="width:0;height:1.5pt" o:hralign="center" o:hrstd="t" o:hr="t"/>
        </w:pict>
      </w:r>
    </w:p>
    <w:bookmarkEnd w:id="66"/>
    <w:bookmarkStart w:id="67" w:name="promotion"/>
    <w:p>
      <w:pPr>
        <w:pStyle w:val="Heading3"/>
      </w:pPr>
      <w:r>
        <w:t xml:space="preserve">Promotion</w:t>
      </w:r>
    </w:p>
    <w:p>
      <w:pPr>
        <w:pStyle w:val="FirstParagraph"/>
      </w:pPr>
      <w:r>
        <w:t xml:space="preserve">A temporary purchasing opportunity associated with a wine.</w:t>
      </w:r>
    </w:p>
    <w:p>
      <w:r>
        <w:pict>
          <v:rect style="width:0;height:1.5pt" o:hralign="center" o:hrstd="t" o:hr="t"/>
        </w:pict>
      </w:r>
    </w:p>
    <w:bookmarkEnd w:id="67"/>
    <w:bookmarkStart w:id="68" w:name="restaurant-wine-list"/>
    <w:p>
      <w:pPr>
        <w:pStyle w:val="Heading3"/>
      </w:pPr>
      <w:r>
        <w:t xml:space="preserve">Restaurant Wine List</w:t>
      </w:r>
    </w:p>
    <w:p>
      <w:pPr>
        <w:pStyle w:val="FirstParagraph"/>
      </w:pPr>
      <w:r>
        <w:t xml:space="preserve">A collection of wines available during a specific restaurant visit.</w:t>
      </w:r>
    </w:p>
    <w:p>
      <w:r>
        <w:pict>
          <v:rect style="width:0;height:1.5pt" o:hralign="center" o:hrstd="t" o:hr="t"/>
        </w:pict>
      </w:r>
    </w:p>
    <w:bookmarkEnd w:id="68"/>
    <w:bookmarkStart w:id="69" w:name="producer"/>
    <w:p>
      <w:pPr>
        <w:pStyle w:val="Heading3"/>
      </w:pPr>
      <w:r>
        <w:t xml:space="preserve">Producer</w:t>
      </w:r>
    </w:p>
    <w:p>
      <w:pPr>
        <w:pStyle w:val="FirstParagraph"/>
      </w:pPr>
      <w:r>
        <w:t xml:space="preserve">A winery responsible for one or more wines.</w:t>
      </w:r>
    </w:p>
    <w:p>
      <w:r>
        <w:pict>
          <v:rect style="width:0;height:1.5pt" o:hralign="center" o:hrstd="t" o:hr="t"/>
        </w:pict>
      </w:r>
    </w:p>
    <w:bookmarkEnd w:id="69"/>
    <w:bookmarkStart w:id="70" w:name="region"/>
    <w:p>
      <w:pPr>
        <w:pStyle w:val="Heading3"/>
      </w:pPr>
      <w:r>
        <w:t xml:space="preserve">Region</w:t>
      </w:r>
    </w:p>
    <w:p>
      <w:pPr>
        <w:pStyle w:val="FirstParagraph"/>
      </w:pPr>
      <w:r>
        <w:t xml:space="preserve">A geographical hierarchy describing wine origin.</w:t>
      </w:r>
    </w:p>
    <w:p>
      <w:r>
        <w:pict>
          <v:rect style="width:0;height:1.5pt" o:hralign="center" o:hrstd="t" o:hr="t"/>
        </w:pict>
      </w:r>
    </w:p>
    <w:bookmarkEnd w:id="70"/>
    <w:bookmarkStart w:id="71" w:name="variety"/>
    <w:p>
      <w:pPr>
        <w:pStyle w:val="Heading3"/>
      </w:pPr>
      <w:r>
        <w:t xml:space="preserve">Variety</w:t>
      </w:r>
    </w:p>
    <w:p>
      <w:pPr>
        <w:pStyle w:val="FirstParagraph"/>
      </w:pPr>
      <w:r>
        <w:t xml:space="preserve">A grape variety used in one or more wines.</w:t>
      </w:r>
    </w:p>
    <w:p>
      <w:r>
        <w:pict>
          <v:rect style="width:0;height:1.5pt" o:hralign="center" o:hrstd="t" o:hr="t"/>
        </w:pict>
      </w:r>
    </w:p>
    <w:bookmarkEnd w:id="71"/>
    <w:bookmarkStart w:id="72" w:name="vintage"/>
    <w:p>
      <w:pPr>
        <w:pStyle w:val="Heading3"/>
      </w:pPr>
      <w:r>
        <w:t xml:space="preserve">Vintage</w:t>
      </w:r>
    </w:p>
    <w:p>
      <w:pPr>
        <w:pStyle w:val="FirstParagraph"/>
      </w:pPr>
      <w:r>
        <w:t xml:space="preserve">The harvest year associated with a wine.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ceptual-relationships"/>
    <w:p>
      <w:pPr>
        <w:pStyle w:val="Heading2"/>
      </w:pPr>
      <w:r>
        <w:t xml:space="preserve">3. Conceptual Relationships</w:t>
      </w:r>
    </w:p>
    <w:p>
      <w:pPr>
        <w:pStyle w:val="FirstParagraph"/>
      </w:pPr>
      <w:r>
        <w:t xml:space="preserve">The principal relationships are:</w:t>
      </w:r>
    </w:p>
    <w:p>
      <w:pPr>
        <w:pStyle w:val="Compact"/>
        <w:numPr>
          <w:ilvl w:val="0"/>
          <w:numId w:val="1015"/>
        </w:numPr>
      </w:pPr>
      <w:r>
        <w:t xml:space="preserve">Producer → Wine</w:t>
      </w:r>
    </w:p>
    <w:p>
      <w:pPr>
        <w:pStyle w:val="Compact"/>
        <w:numPr>
          <w:ilvl w:val="0"/>
          <w:numId w:val="1015"/>
        </w:numPr>
      </w:pPr>
      <w:r>
        <w:t xml:space="preserve">Wine → Variety</w:t>
      </w:r>
    </w:p>
    <w:p>
      <w:pPr>
        <w:pStyle w:val="Compact"/>
        <w:numPr>
          <w:ilvl w:val="0"/>
          <w:numId w:val="1015"/>
        </w:numPr>
      </w:pPr>
      <w:r>
        <w:t xml:space="preserve">Wine → Vintage</w:t>
      </w:r>
    </w:p>
    <w:p>
      <w:pPr>
        <w:pStyle w:val="Compact"/>
        <w:numPr>
          <w:ilvl w:val="0"/>
          <w:numId w:val="1015"/>
        </w:numPr>
      </w:pPr>
      <w:r>
        <w:t xml:space="preserve">Wine → Bottle</w:t>
      </w:r>
    </w:p>
    <w:p>
      <w:pPr>
        <w:pStyle w:val="Compact"/>
        <w:numPr>
          <w:ilvl w:val="0"/>
          <w:numId w:val="1015"/>
        </w:numPr>
      </w:pPr>
      <w:r>
        <w:t xml:space="preserve">Bottle → Cellar</w:t>
      </w:r>
    </w:p>
    <w:p>
      <w:pPr>
        <w:pStyle w:val="Compact"/>
        <w:numPr>
          <w:ilvl w:val="0"/>
          <w:numId w:val="1015"/>
        </w:numPr>
      </w:pPr>
      <w:r>
        <w:t xml:space="preserve">Bottle → Purchase</w:t>
      </w:r>
    </w:p>
    <w:p>
      <w:pPr>
        <w:pStyle w:val="Compact"/>
        <w:numPr>
          <w:ilvl w:val="0"/>
          <w:numId w:val="1015"/>
        </w:numPr>
      </w:pPr>
      <w:r>
        <w:t xml:space="preserve">Bottle → Tasting</w:t>
      </w:r>
    </w:p>
    <w:p>
      <w:pPr>
        <w:pStyle w:val="Compact"/>
        <w:numPr>
          <w:ilvl w:val="0"/>
          <w:numId w:val="1015"/>
        </w:numPr>
      </w:pPr>
      <w:r>
        <w:t xml:space="preserve">Tasting → Preference</w:t>
      </w:r>
    </w:p>
    <w:p>
      <w:pPr>
        <w:pStyle w:val="Compact"/>
        <w:numPr>
          <w:ilvl w:val="0"/>
          <w:numId w:val="1015"/>
        </w:numPr>
      </w:pPr>
      <w:r>
        <w:t xml:space="preserve">Reference Wine → Wine</w:t>
      </w:r>
    </w:p>
    <w:p>
      <w:pPr>
        <w:pStyle w:val="Compact"/>
        <w:numPr>
          <w:ilvl w:val="0"/>
          <w:numId w:val="1015"/>
        </w:numPr>
      </w:pPr>
      <w:r>
        <w:t xml:space="preserve">Recommendation → Wine</w:t>
      </w:r>
    </w:p>
    <w:p>
      <w:pPr>
        <w:pStyle w:val="Compact"/>
        <w:numPr>
          <w:ilvl w:val="0"/>
          <w:numId w:val="1015"/>
        </w:numPr>
      </w:pPr>
      <w:r>
        <w:t xml:space="preserve">Recommendation → Bottle (optional)</w:t>
      </w:r>
    </w:p>
    <w:p>
      <w:pPr>
        <w:pStyle w:val="Compact"/>
        <w:numPr>
          <w:ilvl w:val="0"/>
          <w:numId w:val="1015"/>
        </w:numPr>
      </w:pPr>
      <w:r>
        <w:t xml:space="preserve">Promotion → Wine</w:t>
      </w:r>
    </w:p>
    <w:p>
      <w:pPr>
        <w:pStyle w:val="Compact"/>
        <w:numPr>
          <w:ilvl w:val="0"/>
          <w:numId w:val="1015"/>
        </w:numPr>
      </w:pPr>
      <w:r>
        <w:t xml:space="preserve">Restaurant Wine List → Wine</w:t>
      </w:r>
    </w:p>
    <w:p>
      <w:pPr>
        <w:pStyle w:val="FirstParagraph"/>
      </w:pPr>
      <w:r>
        <w:t xml:space="preserve">These relationships define product concepts rather than implementation.</w:t>
      </w:r>
    </w:p>
    <w:p>
      <w:r>
        <w:pict>
          <v:rect style="width:0;height:1.5pt" o:hralign="center" o:hrstd="t" o:hr="t"/>
        </w:pict>
      </w:r>
    </w:p>
    <w:bookmarkEnd w:id="74"/>
    <w:bookmarkStart w:id="75" w:name="design-principles-1"/>
    <w:p>
      <w:pPr>
        <w:pStyle w:val="Heading2"/>
      </w:pPr>
      <w:r>
        <w:t xml:space="preserve">4. Design Principles</w:t>
      </w:r>
    </w:p>
    <w:p>
      <w:pPr>
        <w:pStyle w:val="FirstParagraph"/>
      </w:pPr>
      <w:r>
        <w:t xml:space="preserve">The domain model should remain:</w:t>
      </w:r>
    </w:p>
    <w:p>
      <w:pPr>
        <w:pStyle w:val="Compact"/>
        <w:numPr>
          <w:ilvl w:val="0"/>
          <w:numId w:val="1016"/>
        </w:numPr>
      </w:pPr>
      <w:r>
        <w:t xml:space="preserve">stable</w:t>
      </w:r>
    </w:p>
    <w:p>
      <w:pPr>
        <w:pStyle w:val="Compact"/>
        <w:numPr>
          <w:ilvl w:val="0"/>
          <w:numId w:val="1016"/>
        </w:numPr>
      </w:pPr>
      <w:r>
        <w:t xml:space="preserve">implementation-independent</w:t>
      </w:r>
    </w:p>
    <w:p>
      <w:pPr>
        <w:pStyle w:val="Compact"/>
        <w:numPr>
          <w:ilvl w:val="0"/>
          <w:numId w:val="1016"/>
        </w:numPr>
      </w:pPr>
      <w:r>
        <w:t xml:space="preserve">extensible</w:t>
      </w:r>
    </w:p>
    <w:p>
      <w:pPr>
        <w:pStyle w:val="Compact"/>
        <w:numPr>
          <w:ilvl w:val="0"/>
          <w:numId w:val="1016"/>
        </w:numPr>
      </w:pPr>
      <w:r>
        <w:t xml:space="preserve">understandable</w:t>
      </w:r>
    </w:p>
    <w:p>
      <w:pPr>
        <w:pStyle w:val="Compact"/>
        <w:numPr>
          <w:ilvl w:val="0"/>
          <w:numId w:val="1016"/>
        </w:numPr>
      </w:pPr>
      <w:r>
        <w:t xml:space="preserve">reusable</w:t>
      </w:r>
    </w:p>
    <w:p>
      <w:pPr>
        <w:pStyle w:val="FirstParagraph"/>
      </w:pPr>
      <w:r>
        <w:t xml:space="preserve">Future features should extend these concepts rather than replace them.</w:t>
      </w:r>
    </w:p>
    <w:p>
      <w:r>
        <w:pict>
          <v:rect style="width:0;height:1.5pt" o:hralign="center" o:hrstd="t" o:hr="t"/>
        </w:pict>
      </w:r>
    </w:p>
    <w:bookmarkEnd w:id="75"/>
    <w:bookmarkStart w:id="76" w:name="closing-statement"/>
    <w:p>
      <w:pPr>
        <w:pStyle w:val="Heading2"/>
      </w:pPr>
      <w:r>
        <w:t xml:space="preserve">5. Closing Statement</w:t>
      </w:r>
    </w:p>
    <w:p>
      <w:pPr>
        <w:pStyle w:val="FirstParagraph"/>
      </w:pPr>
      <w:r>
        <w:t xml:space="preserve">This document establishes the architectural foundation of VinIQ.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17"/>
        </w:numPr>
      </w:pPr>
      <w:r>
        <w:t xml:space="preserve">the vision of the product,</w:t>
      </w:r>
    </w:p>
    <w:p>
      <w:pPr>
        <w:pStyle w:val="Compact"/>
        <w:numPr>
          <w:ilvl w:val="0"/>
          <w:numId w:val="1017"/>
        </w:numPr>
      </w:pPr>
      <w:r>
        <w:t xml:space="preserve">how VinIQ reasons,</w:t>
      </w:r>
    </w:p>
    <w:p>
      <w:pPr>
        <w:pStyle w:val="Compact"/>
        <w:numPr>
          <w:ilvl w:val="0"/>
          <w:numId w:val="1017"/>
        </w:numPr>
      </w:pPr>
      <w:r>
        <w:t xml:space="preserve">and the language through which the product understands wine.</w:t>
      </w:r>
    </w:p>
    <w:p>
      <w:pPr>
        <w:pStyle w:val="FirstParagraph"/>
      </w:pPr>
      <w:r>
        <w:t xml:space="preserve">Subsequent implementation should build upon these principles without redefining them.</w:t>
      </w:r>
    </w:p>
    <w:p>
      <w:pPr>
        <w:pStyle w:val="BodyText"/>
      </w:pPr>
      <w:r>
        <w:t xml:space="preserve">This specification is approved as</w:t>
      </w:r>
      <w:r>
        <w:t xml:space="preserve"> </w:t>
      </w:r>
      <w:r>
        <w:rPr>
          <w:b/>
          <w:bCs/>
        </w:rPr>
        <w:t xml:space="preserve">VinIQ Product Specification v1.0</w:t>
      </w:r>
      <w:r>
        <w:t xml:space="preserve"> </w:t>
      </w:r>
      <w:r>
        <w:t xml:space="preserve">and serves as the official foundation for implementation.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2026-06-26T12:02:11Z</dcterms:created>
  <dcterms:modified xsi:type="dcterms:W3CDTF">2026-06-26T12:02:11Z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