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pStyle w:val="Title"/></w:pPr><w:r><w:t xml:space="preserve">BIM Execution Plan (BEP)</w:t></w:r></w:p><w:p><w:pPr><w:spacing w:after="80"/></w:pPr><w:r><w:rPr><w:i/><w:iCs/><w:color w:val="555555"/><w:sz w:val="22"/><w:szCs w:val="22"/></w:rPr><w:t xml:space="preserve">ISO 19650-2. Change-managed document — revisions recorded in Section A.</w:t></w:r></w:p><w:p><w:pPr><w:spacing w:after="240"/></w:pPr><w:r><w:rPr><w:color w:val="555555"/><w:sz w:val="18"/><w:szCs w:val="18"/></w:rPr><w:t xml:space="preserve">Project: {{PROJECT_NAME}}   ·   Code: {{CODE}}   ·   Client: {{CLIENT}}   ·   Address: {{ADDRESS}}</w:t></w:r></w:p><w:p><w:pPr><w:spacing w:after="240"/></w:pPr><w:r><w:rPr><w:color w:val="555555"/><w:sz w:val="18"/><w:szCs w:val="18"/></w:rPr><w:t xml:space="preserve">Author / Lead Appointed Party: {{AUTHOR}}   ·   Version {{DOC_VERSION}}   ·   Date: {{DOC_DATE}}   ·   Container: {{CODE}}-{{OR}}-XX-RP-0004_BEP_v1.0</w:t></w:r></w:p><w:p><w:r><w:rPr><w:b/><w:bCs/><w:sz w:val="22"/><w:szCs w:val="22"/></w:rPr><w:t xml:space="preserve">Contents</w:t></w:r></w:p><w:sdt><w:sdtPr><w:alias w:val="Table of Contents"/></w:sdtPr><w:sdtContent><w:p><w:r><w:fldChar w:fldCharType="begin" w:dirty="true"/><w:instrText xml:space="preserve">TOC \h \o &quot;1-2&quot;</w:instrText><w:fldChar w:fldCharType="separate"/></w:r></w:p><w:p><w:r><w:fldChar w:fldCharType="end"/></w:r></w:p></w:sdtContent></w:sdt><w:p><w:pPr><w:pageBreakBefore/></w:pPr><w:r><w:t xml:space="preserve"></w:t></w:r></w:p><w:p><w:pPr><w:pStyle w:val="Heading1"/></w:pPr><w:r><w:t xml:space="preserve">A. Revision history &amp; BEP change management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500"/><w:gridCol w:w="2000"/><w:gridCol w:w="2860"/><w:gridCol w:w="3000"/></w:tblGrid><w:tr><w:trPr><w:tblHeader/></w:trP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1F4E79" w:val="clear"/><w:tcMar><w:top w:type="dxa" w:w="60"/><w:left w:type="dxa" w:w="110"/><w:bottom w:type="dxa" w:w="60"/><w:right w:type="dxa" w:w="110"/></w:tcMar></w:tcPr><w:p><w:r><w:rPr><w:b/><w:bCs/><w:color w:val="FFFFFF"/></w:rPr><w:t xml:space="preserve">Version</w:t></w:r></w:p></w:tc><w:tc><w:tcPr><w:tcW w:type="dxa" w:w="2000"/><w:tcBorders><w:top w:val="single" w:color="BBBBBB" w:sz="1"/><w:left w:val="single" w:color="BBBBBB" w:sz="1"/><w:bottom w:val="single" w:color="BBBBBB" w:sz="1"/><w:right w:val="single" w:color="BBBBBB" w:sz="1"/></w:tcBorders><w:shd w:fill="1F4E79" w:val="clear"/><w:tcMar><w:top w:type="dxa" w:w="60"/><w:left w:type="dxa" w:w="110"/><w:bottom w:type="dxa" w:w="60"/><w:right w:type="dxa" w:w="110"/></w:tcMar></w:tcPr><w:p><w:r><w:rPr><w:b/><w:bCs/><w:color w:val="FFFFFF"/></w:rPr><w:t xml:space="preserve">Date</w:t></w:r></w:p></w:tc><w:tc><w:tcPr><w:tcW w:type="dxa" w:w="2860"/><w:tcBorders><w:top w:val="single" w:color="BBBBBB" w:sz="1"/><w:left w:val="single" w:color="BBBBBB" w:sz="1"/><w:bottom w:val="single" w:color="BBBBBB" w:sz="1"/><w:right w:val="single" w:color="BBBBBB" w:sz="1"/></w:tcBorders><w:shd w:fill="1F4E79" w:val="clear"/><w:tcMar><w:top w:type="dxa" w:w="60"/><w:left w:type="dxa" w:w="110"/><w:bottom w:type="dxa" w:w="60"/><w:right w:type="dxa" w:w="110"/></w:tcMar></w:tcPr><w:p><w:r><w:rPr><w:b/><w:bCs/><w:color w:val="FFFFFF"/></w:rPr><w:t xml:space="preserve">Author</w:t></w:r></w:p></w:tc><w:tc><w:tcPr><w:tcW w:type="dxa" w:w="3000"/><w:tcBorders><w:top w:val="single" w:color="BBBBBB" w:sz="1"/><w:left w:val="single" w:color="BBBBBB" w:sz="1"/><w:bottom w:val="single" w:color="BBBBBB" w:sz="1"/><w:right w:val="single" w:color="BBBBBB" w:sz="1"/></w:tcBorders><w:shd w:fill="1F4E79" w:val="clear"/><w:tcMar><w:top w:type="dxa" w:w="60"/><w:left w:type="dxa" w:w="110"/><w:bottom w:type="dxa" w:w="60"/><w:right w:type="dxa" w:w="110"/></w:tcMar></w:tcPr><w:p><w:r><w:rPr><w:b/><w:bCs/><w:color w:val="FFFFFF"/></w:rPr><w:t xml:space="preserve">Change</w:t></w:r></w:p></w:tc></w:tr><w:tr><w:trPr><w:tblHeader w:val="false"/></w:trP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1.0</w:t></w:r></w:p></w:tc><w:tc><w:tcPr><w:tcW w:type="dxa" w:w="2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{{DOC_DATE}}</w:t></w:r></w:p></w:tc><w:tc><w:tcPr><w:tcW w:type="dxa" w:w="28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{{AUTHOR}}</w:t></w:r></w:p></w:tc><w:tc><w:tcPr><w:tcW w:type="dxa" w:w="3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Initial issue at project kickoff</w:t></w:r></w:p></w:tc></w:tr></w:tbl><w:p><w:pPr><w:spacing w:after="120"/></w:pPr><w:r><w:rPr><w:b/><w:bCs/></w:rPr><w:t xml:space="preserve">Change-management process for this BEP: any Party may propose a change to the {{BIM_MANAGER}} (BIM Manager). The BIM Manager assesses impact (scope, roles, MIDP), approves or rejects, and if approved re-issues the BEP with a new version and a new row in this history. Model splits (Section G) and role changes are always processed as BEP changes.</w:t></w:r><w:r><w:t xml:space="preserve"></w:t></w:r></w:p><w:p><w:pPr><w:pStyle w:val="Heading1"/></w:pPr><w:r><w:t xml:space="preserve">B. Project information</w:t></w:r></w:p><w:p><w:pPr><w:spacing w:after="120"/></w:pPr><w:r><w:t xml:space="preserve">Project: {{PROJECT_NAME}}. Code: {{CODE}}. Client (Appointing Party): {{CLIENT}}. Address: {{ADDRESS}}. Lead Appointed Party: {{AUTHOR}}. Standard: ISO 19650-1/-2.</w:t></w:r></w:p><w:p><w:pPr><w:pStyle w:val="Heading1"/></w:pPr><w:r><w:t xml:space="preserve">C. BIM uses — included, excluded, future</w:t></w:r></w:p><w:p><w:pPr><w:pStyle w:val="Heading2"/></w:pPr><w:r><w:t xml:space="preserve">C.1 Included</w:t></w:r></w:p><w:p><w:pPr><w:pStyle w:val="ListParagraph"/><w:numPr><w:ilvl w:val="0"/><w:numId w:val="2"/></w:numPr><w:spacing w:after="40"/></w:pPr><w:r><w:t xml:space="preserve">Existing conditions / site model.</w:t></w:r></w:p><w:p><w:pPr><w:pStyle w:val="ListParagraph"/><w:numPr><w:ilvl w:val="0"/><w:numId w:val="2"/></w:numPr><w:spacing w:after="40"/></w:pPr><w:r><w:t xml:space="preserve">Structural analysis (Revit ↔ Robot) and foundation verification (Midas GTS NX).</w:t></w:r></w:p><w:p><w:pPr><w:pStyle w:val="ListParagraph"/><w:numPr><w:ilvl w:val="0"/><w:numId w:val="2"/></w:numPr><w:spacing w:after="40"/></w:pPr><w:r><w:t xml:space="preserve">Hydraulic modelling.</w:t></w:r></w:p><w:p><w:pPr><w:pStyle w:val="ListParagraph"/><w:numPr><w:ilvl w:val="0"/><w:numId w:val="2"/></w:numPr><w:spacing w:after="40"/></w:pPr><w:r><w:t xml:space="preserve">3D coordination and clash detection (Revit Interference Check).</w:t></w:r></w:p><w:p><w:pPr><w:pStyle w:val="ListParagraph"/><w:numPr><w:ilvl w:val="0"/><w:numId w:val="2"/></w:numPr><w:spacing w:after="40"/></w:pPr><w:r><w:t xml:space="preserve">Quantity take-off and construction documentation.</w:t></w:r></w:p><w:p><w:pPr><w:pStyle w:val="Heading2"/></w:pPr><w:r><w:t xml:space="preserve">C.2 Excluded</w:t></w:r></w:p><w:p><w:pPr><w:pStyle w:val="ListParagraph"/><w:numPr><w:ilvl w:val="0"/><w:numId w:val="2"/></w:numPr><w:spacing w:after="40"/></w:pPr><w:r><w:t xml:space="preserve">Architecture authoring (external, AR — reference only).</w:t></w:r></w:p><w:p><w:pPr><w:pStyle w:val="ListParagraph"/><w:numPr><w:ilvl w:val="0"/><w:numId w:val="2"/></w:numPr><w:spacing w:after="40"/></w:pPr><w:r><w:t xml:space="preserve">Geotechnical investigation and topographic survey (external, GE).</w:t></w:r></w:p><w:p><w:pPr><w:pStyle w:val="ListParagraph"/><w:numPr><w:ilvl w:val="0"/><w:numId w:val="2"/></w:numPr><w:spacing w:after="40"/></w:pPr><w:r><w:t xml:space="preserve">Fire-fighting (FIR) and electrical (ELE) engineering.</w:t></w:r></w:p><w:p><w:pPr><w:pStyle w:val="ListParagraph"/><w:numPr><w:ilvl w:val="0"/><w:numId w:val="2"/></w:numPr><w:spacing w:after="40"/></w:pPr><w:r><w:t xml:space="preserve">4D scheduling, 5D cost automation, energy analysis, FM/asset data (unless later agreed).</w:t></w:r></w:p><w:p><w:pPr><w:pStyle w:val="Heading2"/></w:pPr><w:r><w:t xml:space="preserve">C.3 Possible future uses</w:t></w:r></w:p><w:p><w:pPr><w:pStyle w:val="ListParagraph"/><w:numPr><w:ilvl w:val="0"/><w:numId w:val="2"/></w:numPr><w:spacing w:after="40"/></w:pPr><w:r><w:t xml:space="preserve">Asset management data drop at handover (if the Client confirms AIR).</w:t></w:r></w:p><w:p><w:pPr><w:pStyle w:val="ListParagraph"/><w:numPr><w:ilvl w:val="0"/><w:numId w:val="2"/></w:numPr><w:spacing w:after="40"/></w:pPr><w:r><w:t xml:space="preserve">4D/5D and fire-fighting/electrical if scope is extended (processed as a BEP change).</w:t></w:r></w:p><w:p><w:pPr><w:pStyle w:val="Heading1"/></w:pPr><w:r><w:t xml:space="preserve">D. Information delivery strategy</w:t></w:r></w:p><w:p><w:pPr><w:spacing w:after="120"/></w:pPr><w:r><w:t xml:space="preserve">Information is produced in WIP, checked, and shared through the CDE at milestones M1–M5 per the MIDP/TIDP ({{CODE}}-{{OR}}-XX-SP-0007). Level of information need per the IE Worksheet (EN 17412-1). Milestone dates are [TO BE DEFINED] and held in the MIDP — never invented.</w:t></w:r></w:p><w:p><w:pPr><w:pStyle w:val="Heading1"/></w:pPr><w:r><w:t xml:space="preserve">E. Roles and responsibilities (ISO 19650 parties)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400"/><w:gridCol w:w="3160"/><w:gridCol w:w="2800"/></w:tblGrid><w:tr><w:trPr><w:tblHeader/></w:trPr><w:tc><w:tcPr><w:tcW w:type="dxa" w:w="3400"/><w:tcBorders><w:top w:val="single" w:color="BBBBBB" w:sz="1"/><w:left w:val="single" w:color="BBBBBB" w:sz="1"/><w:bottom w:val="single" w:color="BBBBBB" w:sz="1"/><w:right w:val="single" w:color="BBBBBB" w:sz="1"/></w:tcBorders><w:shd w:fill="1F4E79" w:val="clear"/><w:tcMar><w:top w:type="dxa" w:w="60"/><w:left w:type="dxa" w:w="110"/><w:bottom w:type="dxa" w:w="60"/><w:right w:type="dxa" w:w="110"/></w:tcMar></w:tcPr><w:p><w:r><w:rPr><w:b/><w:bCs/><w:color w:val="FFFFFF"/></w:rPr><w:t xml:space="preserve">ISO 19650 party / function</w:t></w:r></w:p></w:tc><w:tc><w:tcPr><w:tcW w:type="dxa" w:w="3160"/><w:tcBorders><w:top w:val="single" w:color="BBBBBB" w:sz="1"/><w:left w:val="single" w:color="BBBBBB" w:sz="1"/><w:bottom w:val="single" w:color="BBBBBB" w:sz="1"/><w:right w:val="single" w:color="BBBBBB" w:sz="1"/></w:tcBorders><w:shd w:fill="1F4E79" w:val="clear"/><w:tcMar><w:top w:type="dxa" w:w="60"/><w:left w:type="dxa" w:w="110"/><w:bottom w:type="dxa" w:w="60"/><w:right w:type="dxa" w:w="110"/></w:tcMar></w:tcPr><w:p><w:r><w:rPr><w:b/><w:bCs/><w:color w:val="FFFFFF"/></w:rPr><w:t xml:space="preserve">Holder</w:t></w:r></w:p></w:tc><w:tc><w:tcPr><w:tcW w:type="dxa" w:w="2800"/><w:tcBorders><w:top w:val="single" w:color="BBBBBB" w:sz="1"/><w:left w:val="single" w:color="BBBBBB" w:sz="1"/><w:bottom w:val="single" w:color="BBBBBB" w:sz="1"/><w:right w:val="single" w:color="BBBBBB" w:sz="1"/></w:tcBorders><w:shd w:fill="1F4E79" w:val="clear"/><w:tcMar><w:top w:type="dxa" w:w="60"/><w:left w:type="dxa" w:w="110"/><w:bottom w:type="dxa" w:w="60"/><w:right w:type="dxa" w:w="110"/></w:tcMar></w:tcPr><w:p><w:r><w:rPr><w:b/><w:bCs/><w:color w:val="FFFFFF"/></w:rPr><w:t xml:space="preserve">Authority</w:t></w:r></w:p></w:tc></w:tr><w:tr><w:trPr><w:tblHeader w:val="false"/></w:trPr><w:tc><w:tcPr><w:tcW w:type="dxa" w:w="34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{{ROW_ROLE}}</w:t></w:r></w:p></w:tc><w:tc><w:tcPr><w:tcW w:type="dxa" w:w="3160"/><w:tcBorders><w:top w:val="single" w:color="BBBBBB" w:sz="1"/><w:left w:val="single" w:color="BBBBBB" w:sz="1"/><w:bottom w:val="single" w:color="BBBBBB" w:sz="1"/><w:right w:val="single" w:color="BBBBBB" w:sz="1"/></w:tcBorders><w:shd w:fill="FFF2CC" w:val="clear"/><w:tcMar><w:top w:type="dxa" w:w="60"/><w:left w:type="dxa" w:w="110"/><w:bottom w:type="dxa" w:w="60"/><w:right w:type="dxa" w:w="110"/></w:tcMar></w:tcPr><w:p><w:r><w:rPr><w:b w:val="false"/><w:bCs w:val="false"/><w:color w:val="000000"/></w:rPr><w:t xml:space="preserve">{{ROW_PERSON}}</w:t></w:r></w:p></w:tc><w:tc><w:tcPr><w:tcW w:type="dxa" w:w="28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{{ROW_AUTHORITY}}</w:t></w:r></w:p></w:tc></w:tr><w:tr>&lt;w:trPr&gt;&lt;w:tblHeader w:val="false"/&gt;&lt;/w:trPr&gt;&lt;w:tc&gt;&lt;w:tcPr&gt;&lt;w:tcW w:type="dxa" w:w="3400"/&gt;&lt;w:tcBorders&gt;&lt;w:top w:val="single" w:color="BBBBBB" w:sz="1"/&gt;&lt;w:left w:val="single" w:color="BBBBBB" w:sz="1"/&gt;&lt;w:bottom w:val="single" w:color="BBBBBB" w:sz="1"/&gt;&lt;w:right w:val="single" w:color="BBBBBB" w:sz="1"/&gt;&lt;/w:tcBorders&gt;&lt;w:tcMar&gt;&lt;w:top w:type="dxa" w:w="60"/&gt;&lt;w:left w:type="dxa" w:w="110"/&gt;&lt;w:bottom w:type="dxa" w:w="60"/&gt;&lt;w:right w:type="dxa" w:w="110"/&gt;&lt;/w:tcMar&gt;&lt;/w:tcPr&gt;&lt;w:p&gt;&lt;w:r&gt;&lt;w:rPr&gt;&lt;w:b w:val="false"/&gt;&lt;w:bCs w:val="false"/&gt;&lt;w:color w:val="000000"/&gt;&lt;/w:rPr&gt;&lt;w:t xml:space="preserve"&gt;External architecture office (AR): {{AR_OFFICE}}</w:t></w:r></w:p></w:tc><w:tc><w:tcPr><w:tcW w:type="dxa" w:w="3160"/><w:tcBorders><w:top w:val="single" w:color="BBBBBB" w:sz="1"/><w:left w:val="single" w:color="BBBBBB" w:sz="1"/><w:bottom w:val="single" w:color="BBBBBB" w:sz="1"/><w:right w:val="single" w:color="BBBBBB" w:sz="1"/></w:tcBorders><w:shd w:fill="FFF2CC" w:val="clear"/><w:tcMar><w:top w:type="dxa" w:w="60"/><w:left w:type="dxa" w:w="110"/><w:bottom w:type="dxa" w:w="60"/><w:right w:type="dxa" w:w="110"/></w:tcMar></w:tcPr><w:p><w:r><w:rPr><w:b w:val="false"/><w:bCs w:val="false"/><w:color w:val="000000"/></w:rPr><w:t xml:space="preserve">[TO BE DEFINED]</w:t></w:r></w:p></w:tc><w:tc><w:tcPr><w:tcW w:type="dxa" w:w="28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Delivers reference into 01_Incoming</w:t></w:r></w:p></w:tc></w:tr><w:tr>&lt;w:trPr&gt;&lt;w:tblHeader w:val="false"/&gt;&lt;/w:trPr&gt;&lt;w:tc&gt;&lt;w:tcPr&gt;&lt;w:tcW w:type="dxa" w:w="3400"/&gt;&lt;w:tcBorders&gt;&lt;w:top w:val="single" w:color="BBBBBB" w:sz="1"/&gt;&lt;w:left w:val="single" w:color="BBBBBB" w:sz="1"/&gt;&lt;w:bottom w:val="single" w:color="BBBBBB" w:sz="1"/&gt;&lt;w:right w:val="single" w:color="BBBBBB" w:sz="1"/&gt;&lt;/w:tcBorders&gt;&lt;w:tcMar&gt;&lt;w:top w:type="dxa" w:w="60"/&gt;&lt;w:left w:type="dxa" w:w="110"/&gt;&lt;w:bottom w:type="dxa" w:w="60"/&gt;&lt;w:right w:type="dxa" w:w="110"/&gt;&lt;/w:tcMar&gt;&lt;/w:tcPr&gt;&lt;w:p&gt;&lt;w:r&gt;&lt;w:rPr&gt;&lt;w:b w:val="false"/&gt;&lt;w:bCs w:val="false"/&gt;&lt;w:color w:val="000000"/&gt;&lt;/w:rPr&gt;&lt;w:t xml:space="preserve"&gt;External geotechnical office (GE): {{GE_OFFICE}}</w:t></w:r></w:p></w:tc><w:tc><w:tcPr><w:tcW w:type="dxa" w:w="3160"/><w:tcBorders><w:top w:val="single" w:color="BBBBBB" w:sz="1"/><w:left w:val="single" w:color="BBBBBB" w:sz="1"/><w:bottom w:val="single" w:color="BBBBBB" w:sz="1"/><w:right w:val="single" w:color="BBBBBB" w:sz="1"/></w:tcBorders><w:shd w:fill="FFF2CC" w:val="clear"/><w:tcMar><w:top w:type="dxa" w:w="60"/><w:left w:type="dxa" w:w="110"/><w:bottom w:type="dxa" w:w="60"/><w:right w:type="dxa" w:w="110"/></w:tcMar></w:tcPr><w:p><w:r><w:rPr><w:b w:val="false"/><w:bCs w:val="false"/><w:color w:val="000000"/></w:rPr><w:t xml:space="preserve">[TO BE DEFINED]</w:t></w:r></w:p></w:tc><w:tc><w:tcPr><w:tcW w:type="dxa" w:w="28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Delivers borehole data into 01_Incoming</w:t></w:r></w:p></w:tc></w:tr></w:tbl><w:p><w:pPr><w:spacing w:after="120"/></w:pPr><w:r><w:rPr><w:b/><w:bCs/></w:rPr><w:t xml:space="preserve">Standing approval rule: </w:t></w:r><w:r><w:t xml:space="preserve">WIP→Shared is self-checked by the modeller (pre-share checklist) but APPROVED by the BIM Manager — never self-approved. Drawings are produced by the discipline modeller; numbering/revision is registered by the Information Manager.</w:t></w:r></w:p><w:p><w:pPr><w:pStyle w:val="Heading1"/></w:pPr><w:r><w:t xml:space="preserve">F. Software and versions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400"/><w:gridCol w:w="4000"/><w:gridCol w:w="1960"/></w:tblGrid><w:tr><w:trPr><w:tblHeader/></w:trPr><w:tc><w:tcPr><w:tcW w:type="dxa" w:w="3400"/><w:tcBorders><w:top w:val="single" w:color="BBBBBB" w:sz="1"/><w:left w:val="single" w:color="BBBBBB" w:sz="1"/><w:bottom w:val="single" w:color="BBBBBB" w:sz="1"/><w:right w:val="single" w:color="BBBBBB" w:sz="1"/></w:tcBorders><w:shd w:fill="1F4E79" w:val="clear"/><w:tcMar><w:top w:type="dxa" w:w="60"/><w:left w:type="dxa" w:w="110"/><w:bottom w:type="dxa" w:w="60"/><w:right w:type="dxa" w:w="110"/></w:tcMar></w:tcPr><w:p><w:r><w:rPr><w:b/><w:bCs/><w:color w:val="FFFFFF"/></w:rPr><w:t xml:space="preserve">Use</w:t></w:r></w:p></w:tc><w:tc><w:tcPr><w:tcW w:type="dxa" w:w="4000"/><w:tcBorders><w:top w:val="single" w:color="BBBBBB" w:sz="1"/><w:left w:val="single" w:color="BBBBBB" w:sz="1"/><w:bottom w:val="single" w:color="BBBBBB" w:sz="1"/><w:right w:val="single" w:color="BBBBBB" w:sz="1"/></w:tcBorders><w:shd w:fill="1F4E79" w:val="clear"/><w:tcMar><w:top w:type="dxa" w:w="60"/><w:left w:type="dxa" w:w="110"/><w:bottom w:type="dxa" w:w="60"/><w:right w:type="dxa" w:w="110"/></w:tcMar></w:tcPr><w:p><w:r><w:rPr><w:b/><w:bCs/><w:color w:val="FFFFFF"/></w:rPr><w:t xml:space="preserve">Software</w:t></w:r></w:p></w:tc><w:tc><w:tcPr><w:tcW w:type="dxa" w:w="1960"/><w:tcBorders><w:top w:val="single" w:color="BBBBBB" w:sz="1"/><w:left w:val="single" w:color="BBBBBB" w:sz="1"/><w:bottom w:val="single" w:color="BBBBBB" w:sz="1"/><w:right w:val="single" w:color="BBBBBB" w:sz="1"/></w:tcBorders><w:shd w:fill="1F4E79" w:val="clear"/><w:tcMar><w:top w:type="dxa" w:w="60"/><w:left w:type="dxa" w:w="110"/><w:bottom w:type="dxa" w:w="60"/><w:right w:type="dxa" w:w="110"/></w:tcMar></w:tcPr><w:p><w:r><w:rPr><w:b/><w:bCs/><w:color w:val="FFFFFF"/></w:rPr><w:t xml:space="preserve">Version</w:t></w:r></w:p></w:tc></w:tr><w:tr><w:trPr><w:tblHeader w:val="false"/></w:trPr><w:tc><w:tcPr><w:tcW w:type="dxa" w:w="34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Authoring</w:t></w:r></w:p></w:tc><w:tc><w:tcPr><w:tcW w:type="dxa" w:w="4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Autodesk Revit</w:t></w:r></w:p></w:tc><w:tc><w:tcPr><w:tcW w:type="dxa" w:w="19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2026</w:t></w:r></w:p></w:tc></w:tr><w:tr><w:trPr><w:tblHeader w:val="false"/></w:trPr><w:tc><w:tcPr><w:tcW w:type="dxa" w:w="34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Structural analysis</w:t></w:r></w:p></w:tc><w:tc><w:tcPr><w:tcW w:type="dxa" w:w="4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Autodesk Robot Structural Analysis</w:t></w:r></w:p></w:tc><w:tc><w:tcPr><w:tcW w:type="dxa" w:w="19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2026</w:t></w:r></w:p></w:tc></w:tr><w:tr><w:trPr><w:tblHeader w:val="false"/></w:trPr><w:tc><w:tcPr><w:tcW w:type="dxa" w:w="34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Foundation verification</w:t></w:r></w:p></w:tc><w:tc><w:tcPr><w:tcW w:type="dxa" w:w="4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Midas GTS NX</w:t></w:r></w:p></w:tc><w:tc><w:tcPr><w:tcW w:type="dxa" w:w="19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current</w:t></w:r></w:p></w:tc></w:tr><w:tr><w:trPr><w:tblHeader w:val="false"/></w:trPr><w:tc><w:tcPr><w:tcW w:type="dxa" w:w="34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Civil / earthworks (if needed)</w:t></w:r></w:p></w:tc><w:tc><w:tcPr><w:tcW w:type="dxa" w:w="4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Autodesk Civil 3D</w:t></w:r></w:p></w:tc><w:tc><w:tcPr><w:tcW w:type="dxa" w:w="19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2026</w:t></w:r></w:p></w:tc></w:tr><w:tr><w:trPr><w:tblHeader w:val="false"/></w:trPr><w:tc><w:tcPr><w:tcW w:type="dxa" w:w="34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Coordination / clash</w:t></w:r></w:p></w:tc><w:tc><w:tcPr><w:tcW w:type="dxa" w:w="4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Revit Interference Check</w:t></w:r></w:p></w:tc><w:tc><w:tcPr><w:tcW w:type="dxa" w:w="19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2026</w:t></w:r></w:p></w:tc></w:tr></w:tbl><w:p><w:pPr><w:pStyle w:val="Heading1"/></w:pPr><w:r><w:t xml:space="preserve">G. Model breakdown &amp; federation strategy (incl. 300 MB rule)</w:t></w:r></w:p><w:p><w:pPr><w:spacing w:after="120"/></w:pPr><w:r><w:t xml:space="preserve">Default: one model per discipline (structural concrete, structural steel, hydraulic), one modeller each, no worksets. A federated model links all disciplines plus the architecture reference. Shared origin and levels/grids via Copy/Monitor from the coordination model.</w:t></w:r></w:p><w:p><w:pPr><w:pStyle w:val="Heading2"/></w:pPr><w:r><w:t xml:space="preserve">G.1 300 MB rule (rule 5.2d — mandatory)</w:t></w:r></w:p><w:p><w:pPr><w:spacing w:after="120"/></w:pPr><w:r><w:t xml:space="preserve">No native authoring model (.rvt) may exceed 300 MB. ISO 19650 sets no MB figure — it requires a defined container breakdown; 300 MB is the EC-standard threshold for workable sync, export and federation times.</w:t></w:r></w:p><w:p><w:pPr><w:spacing w:after="120"/></w:pPr><w:r><w:rPr><w:b/><w:bCs/></w:rPr><w:t xml:space="preserve">When to check: </w:t></w:r><w:r><w:t xml:space="preserve">(a) at every WIP→Shared transition (part of the Section J / LDE pre-share checklist); (b) monthly inside WIP by each task team; (c) at every milestone M1–M5. The Information Manager records the size in the Container Register at each transition.</w:t></w:r></w:p><w:p><w:pPr><w:spacing w:after="120"/></w:pPr><w:r><w:rPr><w:b/><w:bCs/></w:rPr><w:t xml:space="preserve">Escalation (splitting is the LAST resort): </w:t></w:r></w:p><w:p><w:pPr><w:pStyle w:val="ListParagraph"/><w:numPr><w:ilvl w:val="0"/><w:numId w:val="3"/></w:numPr><w:spacing w:after="40"/></w:pPr><w:r><w:t xml:space="preserve">Audit &amp; purge (mandatory first): Audit + Purge Unused ×2, remove unused CAD imports/links, delete orphaned views/sheets, compact the central file, review families &gt;5 MB and imported geometry.</w:t></w:r></w:p><w:p><w:pPr><w:pStyle w:val="ListParagraph"/><w:numPr><w:ilvl w:val="0"/><w:numId w:val="3"/></w:numPr><w:spacing w:after="40"/></w:pPr><w:r><w:t xml:space="preserve">Re-check: if ≤300 MB → no action; record in a Container Register comment.</w:t></w:r></w:p><w:p><w:pPr><w:pStyle w:val="ListParagraph"/><w:numPr><w:ilvl w:val="0"/><w:numId w:val="3"/></w:numPr><w:spacing w:after="40"/></w:pPr><w:r><w:t xml:space="preserve">Still &gt;300 MB → split the model per the breakdown strategy below, with BIM Manager approval, documented as a BEP revision (Section A).</w:t></w:r></w:p><w:p><w:pPr><w:spacing w:after="120"/></w:pPr><w:r><w:rPr><w:b/><w:bCs/></w:rPr><w:t xml:space="preserve">How to split: the naming convention has no Volume field, so split the model functionally and distinguish each part by its sequential Number (frame vs. walls: {{CODE}}-{{OR}}-ZZ-M3-STR-0001 / {{CODE}}-{{OR}}-ZZ-M3-STR-0002). A spatial split (block/tower) is handled the same way, with its own Number range documented in Section A. Split models link via Revit Links + Copy/Monitor, same shared origin. Each partition is an independent container (own status/revision, own Container Register row, own TIDP line) and the pair enters the clash matrix as a mandatory intra-discipline check at every data drop.</w:t></w:r><w:r><w:t xml:space="preserve"></w:t></w:r></w:p><w:p><w:pPr><w:pStyle w:val="Heading1"/></w:pPr><w:r><w:t xml:space="preserve">H. Coordinate system &amp; spatial coordination</w:t></w:r></w:p><w:p><w:pPr><w:spacing w:after="120"/></w:pPr><w:r><w:t xml:space="preserve">Project Base Point = Revit internal origin = (0,0,0) at the lower-left extreme vertex of the building. All disciplines and incoming models must share this origin before sharing. Survey point and true-north rotation recorded here: [SURVEY POINT / TRUE NORTH — TO BE DEFINED]. Full protocol in the LDE Style Manual.</w:t></w:r></w:p><w:p><w:pPr><w:pStyle w:val="Heading1"/></w:pPr><w:r><w:t xml:space="preserve">I. Meetings &amp; communication</w:t></w:r></w:p><w:p><w:pPr><w:pStyle w:val="ListParagraph"/><w:numPr><w:ilvl w:val="0"/><w:numId w:val="2"/></w:numPr><w:spacing w:after="40"/></w:pPr><w:r><w:t xml:space="preserve">I.1 Kickoff meeting — roles, EIR, BEP adoption.</w:t></w:r></w:p><w:p><w:pPr><w:pStyle w:val="ListParagraph"/><w:numPr><w:ilvl w:val="0"/><w:numId w:val="2"/></w:numPr><w:spacing w:after="40"/></w:pPr><w:r><w:t xml:space="preserve">I.2 Coordination meetings — federation + clash review at each data drop; minutes via the template ({{CODE}}-{{OR}}-XX-RP-0010).</w:t></w:r></w:p><w:p><w:pPr><w:pStyle w:val="ListParagraph"/><w:numPr><w:ilvl w:val="0"/><w:numId w:val="2"/></w:numPr><w:spacing w:after="40"/></w:pPr><w:r><w:t xml:space="preserve">I.3 Milestone reviews M1–M5 with the Client.</w:t></w:r></w:p><w:p><w:pPr><w:spacing w:after="120"/></w:pPr><w:r><w:t xml:space="preserve">All communication references container IDs; issues tracked via BCF / issue register.</w:t></w:r></w:p><w:p><w:pPr><w:pStyle w:val="Heading1"/></w:pPr><w:r><w:t xml:space="preserve">J. Quality — deliverable verification procedure</w:t></w:r></w:p><w:p><w:pPr><w:spacing w:after="120"/></w:pPr><w:r><w:t xml:space="preserve">Before every WIP→Shared exchange the modeller runs the pre-share checklist; the BIM Manager approves:</w:t></w:r></w:p><w:p><w:pPr><w:pStyle w:val="ListParagraph"/><w:numPr><w:ilvl w:val="0"/><w:numId w:val="2"/></w:numPr><w:spacing w:after="40"/></w:pPr><w:r><w:t xml:space="preserve">Visual check (no modelling errors, correct categories).</w:t></w:r></w:p><w:p><w:pPr><w:pStyle w:val="ListParagraph"/><w:numPr><w:ilvl w:val="0"/><w:numId w:val="2"/></w:numPr><w:spacing w:after="40"/></w:pPr><w:r><w:t xml:space="preserve">Standards/LDE compliance (naming, units, views, families).</w:t></w:r></w:p><w:p><w:pPr><w:pStyle w:val="ListParagraph"/><w:numPr><w:ilvl w:val="0"/><w:numId w:val="2"/></w:numPr><w:spacing w:after="40"/></w:pPr><w:r><w:t xml:space="preserve">Coordinates check (shared origin).</w:t></w:r></w:p><w:p><w:pPr><w:pStyle w:val="ListParagraph"/><w:numPr><w:ilvl w:val="0"/><w:numId w:val="2"/></w:numPr><w:spacing w:after="40"/></w:pPr><w:r><w:t xml:space="preserve">Model integrity (Audit; warnings below threshold).</w:t></w:r></w:p><w:p><w:pPr><w:pStyle w:val="ListParagraph"/><w:numPr><w:ilvl w:val="0"/><w:numId w:val="2"/></w:numPr><w:spacing w:after="40"/></w:pPr><w:r><w:t xml:space="preserve">Analytical consistency (structural).</w:t></w:r></w:p><w:p><w:pPr><w:pStyle w:val="ListParagraph"/><w:numPr><w:ilvl w:val="0"/><w:numId w:val="2"/></w:numPr><w:spacing w:after="40"/></w:pPr><w:r><w:t xml:space="preserve">Clash check within tolerance for coordination shares.</w:t></w:r></w:p><w:p><w:pPr><w:pStyle w:val="ListParagraph"/><w:numPr><w:ilvl w:val="0"/><w:numId w:val="2"/></w:numPr><w:spacing w:after="40"/></w:pPr><w:r><w:t xml:space="preserve">File size ≤ 300 MB (rule 5.2d).</w:t></w:r></w:p><w:p><w:pPr><w:pStyle w:val="Heading1"/></w:pPr><w:r><w:t xml:space="preserve">K. Interference (clash) matrix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400"/><w:gridCol w:w="1560"/><w:gridCol w:w="2000"/><w:gridCol w:w="2400"/></w:tblGrid><w:tr><w:trPr><w:tblHeader/></w:trPr><w:tc><w:tcPr><w:tcW w:type="dxa" w:w="3400"/><w:tcBorders><w:top w:val="single" w:color="BBBBBB" w:sz="1"/><w:left w:val="single" w:color="BBBBBB" w:sz="1"/><w:bottom w:val="single" w:color="BBBBBB" w:sz="1"/><w:right w:val="single" w:color="BBBBBB" w:sz="1"/></w:tcBorders><w:shd w:fill="1F4E79" w:val="clear"/><w:tcMar><w:top w:type="dxa" w:w="60"/><w:left w:type="dxa" w:w="110"/><w:bottom w:type="dxa" w:w="60"/><w:right w:type="dxa" w:w="110"/></w:tcMar></w:tcPr><w:p><w:r><w:rPr><w:b/><w:bCs/><w:color w:val="FFFFFF"/></w:rPr><w:t xml:space="preserve">Pair</w:t></w:r></w:p></w:tc><w:tc><w:tcPr><w:tcW w:type="dxa" w:w="1560"/><w:tcBorders><w:top w:val="single" w:color="BBBBBB" w:sz="1"/><w:left w:val="single" w:color="BBBBBB" w:sz="1"/><w:bottom w:val="single" w:color="BBBBBB" w:sz="1"/><w:right w:val="single" w:color="BBBBBB" w:sz="1"/></w:tcBorders><w:shd w:fill="1F4E79" w:val="clear"/><w:tcMar><w:top w:type="dxa" w:w="60"/><w:left w:type="dxa" w:w="110"/><w:bottom w:type="dxa" w:w="60"/><w:right w:type="dxa" w:w="110"/></w:tcMar></w:tcPr><w:p><w:r><w:rPr><w:b/><w:bCs/><w:color w:val="FFFFFF"/></w:rPr><w:t xml:space="preserve">Checked?</w:t></w:r></w:p></w:tc><w:tc><w:tcPr><w:tcW w:type="dxa" w:w="2000"/><w:tcBorders><w:top w:val="single" w:color="BBBBBB" w:sz="1"/><w:left w:val="single" w:color="BBBBBB" w:sz="1"/><w:bottom w:val="single" w:color="BBBBBB" w:sz="1"/><w:right w:val="single" w:color="BBBBBB" w:sz="1"/></w:tcBorders><w:shd w:fill="1F4E79" w:val="clear"/><w:tcMar><w:top w:type="dxa" w:w="60"/><w:left w:type="dxa" w:w="110"/><w:bottom w:type="dxa" w:w="60"/><w:right w:type="dxa" w:w="110"/></w:tcMar></w:tcPr><w:p><w:r><w:rPr><w:b/><w:bCs/><w:color w:val="FFFFFF"/></w:rPr><w:t xml:space="preserve">Milestone</w:t></w:r></w:p></w:tc><w:tc><w:tcPr><w:tcW w:type="dxa" w:w="2400"/><w:tcBorders><w:top w:val="single" w:color="BBBBBB" w:sz="1"/><w:left w:val="single" w:color="BBBBBB" w:sz="1"/><w:bottom w:val="single" w:color="BBBBBB" w:sz="1"/><w:right w:val="single" w:color="BBBBBB" w:sz="1"/></w:tcBorders><w:shd w:fill="1F4E79" w:val="clear"/><w:tcMar><w:top w:type="dxa" w:w="60"/><w:left w:type="dxa" w:w="110"/><w:bottom w:type="dxa" w:w="60"/><w:right w:type="dxa" w:w="110"/></w:tcMar></w:tcPr><w:p><w:r><w:rPr><w:b/><w:bCs/><w:color w:val="FFFFFF"/></w:rPr><w:t xml:space="preserve">Tolerance</w:t></w:r></w:p></w:tc></w:tr><w:tr><w:trPr><w:tblHeader w:val="false"/></w:trPr><w:tc><w:tcPr><w:tcW w:type="dxa" w:w="34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Architecture ↔ Structural</w:t></w:r></w:p></w:tc><w:tc><w:tcPr><w:tcW w:type="dxa" w:w="15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Yes</w:t></w:r></w:p></w:tc><w:tc><w:tcPr><w:tcW w:type="dxa" w:w="2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M2–M4</w:t></w:r></w:p></w:tc><w:tc><w:tcPr><w:tcW w:type="dxa" w:w="24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[TO BE DEFINED] (e.g. 10 mm)</w:t></w:r></w:p></w:tc></w:tr><w:tr><w:trPr><w:tblHeader w:val="false"/></w:trPr><w:tc><w:tcPr><w:tcW w:type="dxa" w:w="34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Architecture ↔ Hydraulic</w:t></w:r></w:p></w:tc><w:tc><w:tcPr><w:tcW w:type="dxa" w:w="15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Yes</w:t></w:r></w:p></w:tc><w:tc><w:tcPr><w:tcW w:type="dxa" w:w="2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M3–M4</w:t></w:r></w:p></w:tc><w:tc><w:tcPr><w:tcW w:type="dxa" w:w="24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[TO BE DEFINED]</w:t></w:r></w:p></w:tc></w:tr><w:tr><w:trPr><w:tblHeader w:val="false"/></w:trPr><w:tc><w:tcPr><w:tcW w:type="dxa" w:w="34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Structural ↔ Hydraulic</w:t></w:r></w:p></w:tc><w:tc><w:tcPr><w:tcW w:type="dxa" w:w="15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Yes</w:t></w:r></w:p></w:tc><w:tc><w:tcPr><w:tcW w:type="dxa" w:w="2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M3–M4</w:t></w:r></w:p></w:tc><w:tc><w:tcPr><w:tcW w:type="dxa" w:w="24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[TO BE DEFINED]</w:t></w:r></w:p></w:tc></w:tr><w:tr><w:trPr><w:tblHeader w:val="false"/></w:trPr><w:tc><w:tcPr><w:tcW w:type="dxa" w:w="34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Structural concrete ↔ steel (intra-structural)</w:t></w:r></w:p></w:tc><w:tc><w:tcPr><w:tcW w:type="dxa" w:w="15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Yes</w:t></w:r></w:p></w:tc><w:tc><w:tcPr><w:tcW w:type="dxa" w:w="2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M3–M4</w:t></w:r></w:p></w:tc><w:tc><w:tcPr><w:tcW w:type="dxa" w:w="24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[TO BE DEFINED]</w:t></w:r></w:p></w:tc></w:tr><w:tr><w:trPr><w:tblHeader w:val="false"/></w:trPr><w:tc><w:tcPr><w:tcW w:type="dxa" w:w="34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Split-model partitions (if any)</w:t></w:r></w:p></w:tc><w:tc><w:tcPr><w:tcW w:type="dxa" w:w="15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Yes</w:t></w:r></w:p></w:tc><w:tc><w:tcPr><w:tcW w:type="dxa" w:w="2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Every drop</w:t></w:r></w:p></w:tc><w:tc><w:tcPr><w:tcW w:type="dxa" w:w="24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10"/><w:bottom w:type="dxa" w:w="60"/><w:right w:type="dxa" w:w="110"/></w:tcMar></w:tcPr><w:p><w:r><w:rPr><w:b w:val="false"/><w:bCs w:val="false"/><w:color w:val="000000"/></w:rPr><w:t xml:space="preserve">[TO BE DEFINED]</w:t></w:r></w:p></w:tc></w:tr></w:tbl><w:p><w:pPr><w:spacing w:after="120"/></w:pPr><w:r><w:t xml:space="preserve">Target: zero unresolved clashes at M4. Results issued as a coordination report + BCF.</w:t></w:r></w:p><w:p><w:pPr><w:pStyle w:val="Heading1"/></w:pPr><w:r><w:t xml:space="preserve">L. Information exchange</w:t></w:r></w:p><w:p><w:pPr><w:spacing w:after="120"/></w:pPr><w:r><w:t xml:space="preserve">Exchanges and flows are detailed in the Exchange Flow Matrix ({{CODE}}-{{OR}}-XX-SP-0005) and the IE Worksheet ({{CODE}}-{{OR}}-XX-SP-0006). Formats: native RVT + IFC + PDF (+ DWG for drawings).</w:t></w:r></w:p><w:p><w:pPr><w:pStyle w:val="Heading1"/></w:pPr><w:r><w:t xml:space="preserve">M. CDE workflow</w:t></w:r></w:p><w:p><w:pPr><w:spacing w:after="120"/></w:pPr><w:r><w:t xml:space="preserve">WIP → Shared → Published → Archived. External deliveries via 01_Incoming (verify ≤5 working days). Never overwrite a shared/published revision — supersede and archive. Every transition = one Container Register row. Full step-by-step in the User Manual (Section 3).</w:t></w:r></w:p><w:p><w:pPr><w:pStyle w:val="Heading1"/></w:pPr><w:r><w:t xml:space="preserve">N. Reference material &amp; standards</w:t></w:r></w:p><w:p><w:pPr><w:pStyle w:val="ListParagraph"/><w:numPr><w:ilvl w:val="0"/><w:numId w:val="2"/></w:numPr><w:spacing w:after="40"/></w:pPr><w:r><w:t xml:space="preserve">ISO 19650-1/-2 (and -5 if sensitive); EN 17412-1 (level of information need).</w:t></w:r></w:p><w:p><w:pPr><w:pStyle w:val="ListParagraph"/><w:numPr><w:ilvl w:val="0"/><w:numId w:val="2"/></w:numPr><w:spacing w:after="40"/></w:pPr><w:r><w:t xml:space="preserve">{{OR}} LDE Style Manual ({{CODE}}-{{OR}}-XX-RP-0009).</w:t></w:r></w:p><w:p><w:pPr><w:pStyle w:val="ListParagraph"/><w:numPr><w:ilvl w:val="0"/><w:numId w:val="2"/></w:numPr><w:spacing w:after="40"/></w:pPr><w:r><w:t xml:space="preserve">esBIM GT2 role definitions; esBIM BEP guide (2018).</w:t></w:r></w:p><w:p><w:pPr><w:pStyle w:val="Heading1"/></w:pPr><w:r><w:t xml:space="preserve">O. Annexes</w:t></w:r></w:p><w:p><w:pPr><w:pStyle w:val="ListParagraph"/><w:numPr><w:ilvl w:val="0"/><w:numId w:val="2"/></w:numPr><w:spacing w:after="40"/></w:pPr><w:r><w:t xml:space="preserve">Annex 1–2 — Process maps N1/N2 ({{CODE}}-{{OR}}-XX-RP-0011, Mermaid).</w:t></w:r></w:p><w:p><w:pPr><w:pStyle w:val="ListParagraph"/><w:numPr><w:ilvl w:val="0"/><w:numId w:val="2"/></w:numPr><w:spacing w:after="40"/></w:pPr><w:r><w:t xml:space="preserve">Annex 3–4 — Exchange Flow Matrix ({{CODE}}-{{OR}}-XX-SP-0005).</w:t></w:r></w:p><w:p><w:pPr><w:pStyle w:val="ListParagraph"/><w:numPr><w:ilvl w:val="0"/><w:numId w:val="2"/></w:numPr><w:spacing w:after="40"/></w:pPr><w:r><w:t xml:space="preserve">Annex 5–6 — Information Exchange Worksheet ({{CODE}}-{{OR}}-XX-SP-0006).</w:t></w:r></w:p><w:sectPr><w:headerReference w:type="default" r:id="rId7"/><w:footerReference w:type="default" r:id="rId8"/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{{CODE}}-{{OR}}-XX-RP-0004_BEP_v1.0   |   Page  of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/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</w:pPr>
    <w:r>
      <w:rPr>
        <w:color w:val="888888"/>
        <w:sz w:val="16"/>
        <w:szCs w:val="16"/>
      </w:rPr>
      <w:t xml:space="preserve">{{PROJECT_NAME}}  |  Code: {{CODE}}  |  ISO 19650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5A88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2026-07-05T22:30:10.595Z</dcterms:created>
  <dcterms:modified xsi:type="dcterms:W3CDTF">2026-07-05T22:30:10.595Z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