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Professional Services Agreement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DRAFT — technical-contractual document. Legal review required before signature.</w:t>
      </w:r>
    </w:p>
    <w:p>
      <w:pPr>
        <w:spacing w:after="240"/>
      </w:pPr>
      <w:r>
        <w:rPr>
          <w:color w:val="555555"/>
          <w:sz w:val="18"/>
          <w:szCs w:val="18"/>
        </w:rPr>
        <w:t xml:space="preserve">Project: {{PROJECT_NAME}}   ·   Code: {{CODE}}   ·   Client: {{CLIENT}}   ·   Address: {{ADDRESS}}</w:t>
      </w:r>
    </w:p>
    <w:p>
      <w:pPr>
        <w:spacing w:after="240"/>
      </w:pPr>
      <w:r>
        <w:t>Author / Lead Appointed Party: {{AUTHOR}}   ·   Version {{DOC_VERSION}}   ·   Date: {{DOC_DATE}}   ·   Container: {{CODE}}-{{OR}}-XX-RP-0002_Agreement_DRAFT</w:t>
      </w:r>
    </w:p>
    <w:p>
      <w:pPr>
        <w:shd w:fill="FFF2CC" w:val="clear"/>
        <w:spacing w:after="160"/>
      </w:pPr>
      <w:r>
        <w:rPr>
          <w:b/>
          <w:bCs/>
        </w:rPr>
        <w:t xml:space="preserve">DRAFT — NOT FOR SIGNATURE. This agreement is a technical-contractual draft prepared by the Lead Appointed Party. It must be reviewed by the Legal reviewer ({{AUTHOR}} — external counsel may also be engaged) and completed where marked [TO BE DEFINED] before execution.</w:t>
      </w:r>
      <w:r>
        <w:t xml:space="preserve"/>
      </w:r>
    </w:p>
    <w:p>
      <w:r>
        <w:t>Working protocol: MC applies the publicly verifiable direction of ISO/DIS 19650-1 and ISO/DIS 19650-2 (2026 drafts) to project information management. ISO 19650-1:2018 and ISO 19650-2:2018 remain the published references until replaced. The appointment and applicable national adoption determine contractual obligations. Generation does not constitute review, authorization, acceptance or certification.</w:t>
      </w:r>
    </w:p>
    <w:p>
      <w:pPr>
        <w:pStyle w:val="Heading1"/>
      </w:pPr>
      <w:r>
        <w:t xml:space="preserve">1. Parties</w:t>
      </w:r>
    </w:p>
    <w:p>
      <w:pPr>
        <w:spacing w:after="120"/>
      </w:pPr>
      <w:r>
        <w:rPr>
          <w:b/>
          <w:bCs/>
        </w:rPr>
        <w:t xml:space="preserve">Appointing Party (Client): {{CLIENT}} — [{{CLIENT_LEGAL}} / {{CLIENT_REG}}], represented by {{CLIENT_REP}} ({{CLIENT_CONTACT}}).</w:t>
      </w:r>
      <w:r>
        <w:t xml:space="preserve"/>
      </w:r>
    </w:p>
    <w:p>
      <w:pPr>
        <w:spacing w:after="120"/>
      </w:pPr>
      <w:r>
        <w:rPr>
          <w:b/>
          <w:bCs/>
        </w:rPr>
        <w:t xml:space="preserve">Lead Appointed Party (Consultant): {{AUTHOR}}, BIM engineering services, [{{OUR_LEGAL}} / {{OUR_REG}}].</w:t>
      </w:r>
      <w:r>
        <w:t xml:space="preserve"/>
      </w:r>
    </w:p>
    <w:p>
      <w:pPr>
        <w:pStyle w:val="Heading1"/>
      </w:pPr>
      <w:r>
        <w:t xml:space="preserve">2. Project</w:t>
      </w:r>
    </w:p>
    <w:p>
      <w:pPr>
        <w:spacing w:after="120"/>
      </w:pPr>
      <w:r>
        <w:t xml:space="preserve">Project: {{PROJECT_NAME}}. Address: {{ADDRESS}}. The project comprises BIM modelling, structural and foundation analysis, hydraulic modelling and 3D coordination for the disciplines within scope (Section 4).</w:t>
      </w:r>
    </w:p>
    <w:p>
      <w:pPr>
        <w:pStyle w:val="Heading1"/>
      </w:pPr>
      <w:r>
        <w:t xml:space="preserve">3. Scope of services</w:t>
      </w:r>
    </w:p>
    <w:p>
      <w:pPr>
        <w:spacing w:after="120"/>
      </w:pPr>
      <w:r>
        <w:t xml:space="preserve">The Lead Appointed Party shall deliver the following professional services in accordance with ISO 19650-1 and ISO 19650-2 and with the BIM Execution Plan (BEP):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Structural engineering — reinforced concrete and steel (discipline S): modelling (Revit 2026), analysis (Robot 2026), foundation verification (Midas GTS NX).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Hydraulic / sanitary engineering (discipline H): modelling (Revit 2026).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3D coordination and clash detection (Revit Interference Check) across structural, hydraulic and the external architecture reference model.</w:t>
      </w:r>
    </w:p>
    <w:p>
      <w:pPr>
        <w:pStyle w:val="ListParagraph"/>
        <w:numPr>
          <w:ilvl w:val="0"/>
          <w:numId w:val="2"/>
        </w:numPr>
        <w:spacing w:after="40"/>
      </w:pPr>
      <w:r>
        <w:t>Production and maintenance of the ISO 19650 information-management documents (information production requirements (0001 EIR), BEP, information production schedule (0010 MIDP/TIDP), Container Register, LDE).</w:t>
      </w:r>
    </w:p>
    <w:p>
      <w:pPr>
        <w:pStyle w:val="ListParagraph"/>
        <w:numPr>
          <w:ilvl w:val="0"/>
          <w:numId w:val="2"/>
        </w:numPr>
        <w:spacing w:after="40"/>
      </w:pPr>
      <w:r>
        <w:t>Delivery of the information containers listed in the information production schedule (0010 MIDP/TIDP) at milestones M1–M5.</w:t>
      </w:r>
    </w:p>
    <w:p>
      <w:pPr>
        <w:spacing w:after="120"/>
      </w:pPr>
      <w:r>
        <w:rPr>
          <w:b/>
          <w:bCs/>
        </w:rPr>
        <w:t xml:space="preserve">Exclusions: architecture design, geotechnical/borehole investigation, topographic survey, fire-fighting and electrical engineering are NOT within {{OR}} scope and are provided by the Appointing Party or third parties (originators AR/GE and others [TO BE DEFINED]).</w:t>
      </w:r>
      <w:r>
        <w:t xml:space="preserve"/>
      </w:r>
    </w:p>
    <w:p>
      <w:pPr>
        <w:pStyle w:val="Heading1"/>
      </w:pPr>
      <w:r>
        <w:t xml:space="preserve">4. Disciplines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Discipline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{{DISC_NAME}}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{{DISC_CODE}}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{{DISC_DELIV}}</w:t>
            </w:r>
          </w:p>
        </w:tc>
      </w:tr>
    </w:tbl>
    <w:p>
      <w:pPr>
        <w:pStyle w:val="Heading1"/>
      </w:pPr>
      <w:r>
        <w:t xml:space="preserve">5. Deliverables and milestones</w:t>
      </w:r>
    </w:p>
    <w:p>
      <w:pPr>
        <w:spacing w:after="120"/>
      </w:pPr>
      <w:r>
        <w:t>Deliverables, formats and dates are defined in the information production schedule ({{CODE}}-{{OR}}-XX-SP-0010). Milestone dates M1–M5 are [TO BE DEFINED] and, once agreed, shall be recorded in the MIDP/BEP and not amended without a change order. All exchanges are made exclusively through the Common Data Environment (CDE).</w:t>
      </w:r>
    </w:p>
    <w:p>
      <w:pPr>
        <w:pStyle w:val="Heading1"/>
      </w:pPr>
      <w:r>
        <w:t xml:space="preserve">6. Fees and payment</w:t>
      </w:r>
    </w:p>
    <w:p>
      <w:pPr>
        <w:spacing w:after="120"/>
      </w:pPr>
      <w:r>
        <w:t xml:space="preserve">Total fee: {{FEE}}. Payment schedule tied to milestones M1–M5: {{PAYMENT}}. Currency: {{CURRENCY}}. Taxes as applicable under Brazilian law.</w:t>
      </w:r>
    </w:p>
    <w:p>
      <w:pPr>
        <w:pStyle w:val="Heading1"/>
      </w:pPr>
      <w:r>
        <w:t xml:space="preserve">7. Information management and CDE</w:t>
      </w:r>
    </w:p>
    <w:p>
      <w:pPr>
        <w:spacing w:after="120"/>
      </w:pPr>
      <w:r>
        <w:t xml:space="preserve">The Parties adopt the CDE and workflow defined in the BEP and User Manual (WIP → Shared → Published → Archived). The Appointing Party authorises Shared → Published transitions through the Client representative. Naming, statuses and revisions follow the convention MC-Originator-Level-Type-Discipline-Number_Status_Revision.</w:t>
      </w:r>
    </w:p>
    <w:p>
      <w:pPr>
        <w:pStyle w:val="Heading1"/>
      </w:pPr>
      <w:r>
        <w:t xml:space="preserve">8. Intellectual property and licences</w:t>
      </w:r>
    </w:p>
    <w:p>
      <w:pPr>
        <w:spacing w:after="120"/>
      </w:pPr>
      <w:r>
        <w:t xml:space="preserve">Ownership of the delivered information and licence for its use by the Appointing Party are as set out in Annex A (BIM Protocol). The Lead Appointed Party retains authorship and moral rights over its models and reports; the Appointing Party receives a licence to use the deliverables for the permitted purpose of the project.</w:t>
      </w:r>
    </w:p>
    <w:p>
      <w:pPr>
        <w:pStyle w:val="Heading1"/>
      </w:pPr>
      <w:r>
        <w:t xml:space="preserve">9. Liability and insurance</w:t>
      </w:r>
    </w:p>
    <w:p>
      <w:pPr>
        <w:spacing w:after="120"/>
      </w:pPr>
      <w:r>
        <w:t xml:space="preserve">Professional liability, limits and professional indemnity insurance: [TO BE DEFINED — subject to legal review]. Nothing in this agreement excludes liability that cannot be excluded under applicable law.</w:t>
      </w:r>
    </w:p>
    <w:p>
      <w:pPr>
        <w:pStyle w:val="Heading1"/>
      </w:pPr>
      <w:r>
        <w:t xml:space="preserve">10. Term, suspension and termination</w:t>
      </w:r>
    </w:p>
    <w:p>
      <w:pPr>
        <w:spacing w:after="120"/>
      </w:pPr>
      <w:r>
        <w:t xml:space="preserve">Term runs from the effective date until acceptance of the M5 deliverables. Suspension and termination for cause/convenience and their consequences: [TO BE DEFINED — subject to legal review].</w:t>
      </w:r>
    </w:p>
    <w:p>
      <w:pPr>
        <w:pStyle w:val="Heading1"/>
      </w:pPr>
      <w:r>
        <w:t xml:space="preserve">11. Confidentiality and data protection</w:t>
      </w:r>
    </w:p>
    <w:p>
      <w:pPr>
        <w:spacing w:after="120"/>
      </w:pPr>
      <w:r>
        <w:t xml:space="preserve">Each Party shall keep confidential the other's non-public information and comply with applicable data-protection law (incl. LGPD, Lei 13.709/2018 where applicable). Security requirements per ISO 19650-5 apply if the project is designated sensitive.</w:t>
      </w:r>
    </w:p>
    <w:p>
      <w:pPr>
        <w:pStyle w:val="Heading1"/>
      </w:pPr>
      <w:r>
        <w:t xml:space="preserve">12. Governing law and disputes</w:t>
      </w:r>
    </w:p>
    <w:p>
      <w:pPr>
        <w:spacing w:after="120"/>
      </w:pPr>
      <w:r>
        <w:t xml:space="preserve">Governing law: {{LAW}}. Dispute resolution: {{DISPUTE}}</w:t>
      </w:r>
    </w:p>
    <w:p>
      <w:pPr>
        <w:pStyle w:val="Heading1"/>
      </w:pPr>
      <w:r>
        <w:t xml:space="preserve">13. Annexes</w:t>
      </w:r>
    </w:p>
    <w:p>
      <w:pPr>
        <w:pStyle w:val="ListParagraph"/>
        <w:numPr>
          <w:ilvl w:val="0"/>
          <w:numId w:val="2"/>
        </w:numPr>
        <w:spacing w:after="40"/>
      </w:pPr>
      <w:r>
        <w:t>Annex A — BIM Protocol ({{CODE}}-{{OR}}-XX-RP-0003).</w:t>
      </w:r>
    </w:p>
    <w:p>
      <w:pPr>
        <w:pStyle w:val="ListParagraph"/>
        <w:numPr>
          <w:ilvl w:val="0"/>
          <w:numId w:val="2"/>
        </w:numPr>
        <w:spacing w:after="40"/>
      </w:pPr>
      <w:r>
        <w:t>Information production requirements — EIR legacy identifier ({{CODE}}-{{OR}}-XX-RP-0001).</w:t>
      </w:r>
    </w:p>
    <w:p>
      <w:pPr>
        <w:pStyle w:val="ListParagraph"/>
        <w:numPr>
          <w:ilvl w:val="0"/>
          <w:numId w:val="2"/>
        </w:numPr>
        <w:spacing w:after="40"/>
      </w:pPr>
      <w:r>
        <w:t>BIM Execution Plan — BEP ({{CODE}}-{{OR}}-XX-RP-0005) and its annexes.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14.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Appointing Party (Client)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Lead Appointed Party (Consultant)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Name: {{CLIENT_REP}}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Name: {{AUTHOR}}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Position: [TO BE DEFINED]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Position: Lead Appointed Party / BIM Manager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Signature / Date: ______________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Signature / Date: 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{{CODE}}-{{OR}}-XX-RP-0012_Agreement_DRAFT   |   Page  of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/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</w:pPr>
    <w:r>
      <w:rPr>
        <w:color w:val="888888"/>
        <w:sz w:val="16"/>
        <w:szCs w:val="16"/>
      </w:rPr>
      <w:t xml:space="preserve">{{PROJECT_NAME}}  |  Code: {{CODE}}  |  ISO 19650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A8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2026-07-05T22:30:10.573Z</dcterms:created>
  <dcterms:modified xsi:type="dcterms:W3CDTF">2026-07-05T22:30:10.573Z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