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pPr><w:r><w:t xml:space="preserve">Annex A — BIM Protocol</w:t></w:r></w:p><w:p><w:pPr><w:spacing w:after="80"/></w:pPr><w:r><w:rPr><w:i/><w:iCs/><w:color w:val="555555"/><w:sz w:val="22"/><w:szCs w:val="22"/></w:rPr><w:t xml:space="preserve">Contractual BIM obligations (ISO 19650). Forms part of the Professional Services Agreement.</w:t></w:r></w:p><w:p><w:pPr><w:spacing w:after="240"/></w:pPr><w:r><w:rPr><w:color w:val="555555"/><w:sz w:val="18"/><w:szCs w:val="18"/></w:rPr><w:t xml:space="preserve">Project: {{PROJECT_NAME}}   ·   Code: {{CODE}}   ·   Client: {{CLIENT}}   ·   Address: {{ADDRESS}}</w:t></w:r></w:p><w:p><w:pPr><w:spacing w:after="240"/></w:pPr><w:r><w:rPr><w:color w:val="555555"/><w:sz w:val="18"/><w:szCs w:val="18"/></w:rPr><w:t xml:space="preserve">Author / Lead Appointed Party: {{AUTHOR}}   ·   Version {{DOC_VERSION}}   ·   Date: {{DOC_DATE}}   ·   Container: {{CODE}}-{{OR}}-XX-RP-ZZZ-0002_BIM-Protocol</w:t></w:r></w:p><w:p><w:pPr><w:spacing w:after="120"/></w:pPr><w:r><w:t xml:space="preserve">This BIM Protocol is Annex A to the Professional Services Agreement ({{CODE}}-{{OR}}-XX-RP-ZZZ-0001). In case of conflict on information-management matters, the priority order is: Agreement → this Protocol → EIR → BEP.</w:t></w:r></w:p><w:p><w:pPr><w:pStyle w:val="Heading1"/></w:pPr><w:r><w:t xml:space="preserve">1. Purpose</w:t></w:r></w:p><w:p><w:pPr><w:spacing w:after="120"/></w:pPr><w:r><w:t xml:space="preserve">To establish the contractual obligations of the Parties regarding the production, exchange and management of information for project {{PROJECT_NAME}}, in accordance with ISO 19650-1/-2.</w:t></w:r></w:p><w:p><w:pPr><w:pStyle w:val="Heading1"/></w:pPr><w:r><w:t xml:space="preserve">2. Definitions</w:t></w:r></w:p><w:p><w:pPr><w:pStyle w:val="ListParagraph"/><w:numPr><w:ilvl w:val="0"/><w:numId w:val="2"/></w:numPr><w:spacing w:after="40"/></w:pPr><w:r><w:rPr><w:b/><w:bCs/></w:rPr><w:t xml:space="preserve">Appointing Party — {{CLIENT}}, the client commissioning the information.</w:t></w:r><w:r><w:t xml:space="preserve"></w:t></w:r></w:p><w:p><w:pPr><w:pStyle w:val="ListParagraph"/><w:numPr><w:ilvl w:val="0"/><w:numId w:val="2"/></w:numPr><w:spacing w:after="40"/></w:pPr><w:r><w:rPr><w:b/><w:bCs/></w:rPr><w:t xml:space="preserve">Lead Appointed Party — {{AUTHOR}}, coordinating delivery of information.</w:t></w:r><w:r><w:t xml:space="preserve"></w:t></w:r></w:p><w:p><w:pPr><w:pStyle w:val="ListParagraph"/><w:numPr><w:ilvl w:val="0"/><w:numId w:val="2"/></w:numPr><w:spacing w:after="40"/></w:pPr><w:r><w:rPr><w:b/><w:bCs/></w:rPr><w:t xml:space="preserve">Appointed Party — </w:t></w:r><w:r><w:t xml:space="preserve">any party delivering information (internal task teams; external AR/GE).</w:t></w:r></w:p><w:p><w:pPr><w:pStyle w:val="ListParagraph"/><w:numPr><w:ilvl w:val="0"/><w:numId w:val="2"/></w:numPr><w:spacing w:after="40"/></w:pPr><w:r><w:rPr><w:b/><w:bCs/></w:rPr><w:t xml:space="preserve">CDE — </w:t></w:r><w:r><w:t xml:space="preserve">Common Data Environment; the single source of information for the project.</w:t></w:r></w:p><w:p><w:pPr><w:pStyle w:val="ListParagraph"/><w:numPr><w:ilvl w:val="0"/><w:numId w:val="2"/></w:numPr><w:spacing w:after="40"/></w:pPr><w:r><w:rPr><w:b/><w:bCs/></w:rPr><w:t xml:space="preserve">Information container — </w:t></w:r><w:r><w:t xml:space="preserve">a named set of information (model, drawing, report, schedule).</w:t></w:r></w:p><w:p><w:pPr><w:pStyle w:val="Heading1"/></w:pPr><w:r><w:t xml:space="preserve">3. Standards and references</w:t></w:r></w:p><w:p><w:pPr><w:pStyle w:val="ListParagraph"/><w:numPr><w:ilvl w:val="0"/><w:numId w:val="2"/></w:numPr><w:spacing w:after="40"/></w:pPr><w:r><w:t xml:space="preserve">ISO 19650-1:2018 — concepts and principles.</w:t></w:r></w:p><w:p><w:pPr><w:pStyle w:val="ListParagraph"/><w:numPr><w:ilvl w:val="0"/><w:numId w:val="2"/></w:numPr><w:spacing w:after="40"/></w:pPr><w:r><w:t xml:space="preserve">ISO 19650-2:2018 — delivery phase of the assets.</w:t></w:r></w:p><w:p><w:pPr><w:pStyle w:val="ListParagraph"/><w:numPr><w:ilvl w:val="0"/><w:numId w:val="2"/></w:numPr><w:spacing w:after="40"/></w:pPr><w:r><w:t xml:space="preserve">ISO 19650-5 — security-minded approach (if the project is designated sensitive).</w:t></w:r></w:p><w:p><w:pPr><w:pStyle w:val="ListParagraph"/><w:numPr><w:ilvl w:val="0"/><w:numId w:val="2"/></w:numPr><w:spacing w:after="40"/></w:pPr><w:r><w:t xml:space="preserve">EN 17412-1 — level of information need.</w:t></w:r></w:p><w:p><w:pPr><w:pStyle w:val="ListParagraph"/><w:numPr><w:ilvl w:val="0"/><w:numId w:val="2"/></w:numPr><w:spacing w:after="40"/></w:pPr><w:r><w:t xml:space="preserve">{{OR}} LDE Style Manual ({{CODE}}-{{OR}}-XX-RP-ZZZ-0009) — modelling standard.</w:t></w:r></w:p><w:p><w:pPr><w:pStyle w:val="Heading1"/></w:pPr><w:r><w:t xml:space="preserve">4. Roles and responsibilities</w:t></w:r></w:p><w:p><w:pPr><w:spacing w:after="120"/></w:pPr><w:r><w:t xml:space="preserve">Roles are functions, not job titles; one person may hold several. For this project the Lead Appointed Party ({{OR}}) holds the Information Manager, BIM Manager and BIM Coordinator functions, and the modelling and calculation functions for the disciplines in scope. The full mapping is in the BEP Section 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rPr><w:tblHeader/></w:trPr><w:tc><w:tcPr><w:tcW w:type="dxa" w:w="4680"/><w:tcBorders><w:top w:val="single" w:color="BBBBBB" w:sz="1"/><w:left w:val="single" w:color="BBBBBB" w:sz="1"/><w:bottom w:val="single" w:color="BBBBBB" w:sz="1"/><w:right w:val="single" w:color="BBBBBB" w:sz="1"/></w:tcBorders><w:shd w:fill="1F4E79" w:val="clear"/><w:tcMar><w:top w:type="dxa" w:w="60"/><w:left w:type="dxa" w:w="110"/><w:bottom w:type="dxa" w:w="60"/><w:right w:type="dxa" w:w="110"/></w:tcMar></w:tcPr><w:p><w:r><w:rPr><w:b/><w:bCs/><w:color w:val="FFFFFF"/></w:rPr><w:t xml:space="preserve">Function</w:t></w:r></w:p></w:tc><w:tc><w:tcPr><w:tcW w:type="dxa" w:w="4680"/><w:tcBorders><w:top w:val="single" w:color="BBBBBB" w:sz="1"/><w:left w:val="single" w:color="BBBBBB" w:sz="1"/><w:bottom w:val="single" w:color="BBBBBB" w:sz="1"/><w:right w:val="single" w:color="BBBBBB" w:sz="1"/></w:tcBorders><w:shd w:fill="1F4E79" w:val="clear"/><w:tcMar><w:top w:type="dxa" w:w="60"/><w:left w:type="dxa" w:w="110"/><w:bottom w:type="dxa" w:w="60"/><w:right w:type="dxa" w:w="110"/></w:tcMar></w:tcPr><w:p><w:r><w:rPr><w:b/><w:bCs/><w:color w:val="FFFFFF"/></w:rPr><w:t xml:space="preserve">Holder</w:t></w:r></w:p></w:tc></w:tr><w:tr><w:trPr><w:tblHeader w:val="false"/></w:trPr><w:tc><w:tcPr><w:tcW w:type="dxa" w:w="4680"/><w:tcBorders><w:top w:val="single" w:color="BBBBBB" w:sz="1"/><w:left w:val="single" w:color="BBBBBB" w:sz="1"/><w:bottom w:val="single" w:color="BBBBBB" w:sz="1"/><w:right w:val="single" w:color="BBBBBB" w:sz="1"/></w:tcBorders><w:tcMar><w:top w:type="dxa" w:w="60"/><w:left w:type="dxa" w:w="110"/><w:bottom w:type="dxa" w:w="60"/><w:right w:type="dxa" w:w="110"/></w:tcMar></w:tcPr><w:p><w:r><w:rPr><w:b w:val="false"/><w:bCs w:val="false"/><w:color w:val="000000"/></w:rPr><w:t xml:space="preserve">{{ROW_ROLE}}</w:t></w:r></w:p></w:tc><w:tc><w:tcPr><w:tcW w:type="dxa" w:w="4680"/><w:tcBorders><w:top w:val="single" w:color="BBBBBB" w:sz="1"/><w:left w:val="single" w:color="BBBBBB" w:sz="1"/><w:bottom w:val="single" w:color="BBBBBB" w:sz="1"/><w:right w:val="single" w:color="BBBBBB" w:sz="1"/></w:tcBorders><w:tcMar><w:top w:type="dxa" w:w="60"/><w:left w:type="dxa" w:w="110"/><w:bottom w:type="dxa" w:w="60"/><w:right w:type="dxa" w:w="110"/></w:tcMar></w:tcPr><w:p><w:r><w:rPr><w:b w:val="false"/><w:bCs w:val="false"/><w:color w:val="000000"/></w:rPr><w:t xml:space="preserve">{{ROW_PERSON}}</w:t></w:r></w:p></w:tc></w:tr><w:tr>&lt;w:trPr&gt;&lt;w:tblHeader w:val="false"/&gt;&lt;/w:trPr&gt;&lt;w:tc&gt;&lt;w:tcPr&gt;&lt;w:tcW w:type="dxa" w:w="4680"/&gt;&lt;w:tcBorders&gt;&lt;w:top w:val="single" w:color="BBBBBB" w:sz="1"/&gt;&lt;w:left w:val="single" w:color="BBBBBB" w:sz="1"/&gt;&lt;w:bottom w:val="single" w:color="BBBBBB" w:sz="1"/&gt;&lt;w:right w:val="single" w:color="BBBBBB" w:sz="1"/&gt;&lt;/w:tcBorders&gt;&lt;w:tcMar&gt;&lt;w:top w:type="dxa" w:w="60"/&gt;&lt;w:left w:type="dxa" w:w="110"/&gt;&lt;w:bottom w:type="dxa" w:w="60"/&gt;&lt;w:right w:type="dxa" w:w="110"/&gt;&lt;/w:tcMar&gt;&lt;/w:tcPr&gt;&lt;w:p&gt;&lt;w:r&gt;&lt;w:rPr&gt;&lt;w:b w:val="false"/&gt;&lt;w:bCs w:val="false"/&gt;&lt;w:color w:val="000000"/&gt;&lt;/w:rPr&gt;&lt;w:t xml:space="preserve"&gt;External architecture office (AR): {{AR_OFFICE}}</w:t></w:r></w:p></w:tc><w:tc><w:tcPr><w:tcW w:type="dxa" w:w="4680"/><w:tcBorders><w:top w:val="single" w:color="BBBBBB" w:sz="1"/><w:left w:val="single" w:color="BBBBBB" w:sz="1"/><w:bottom w:val="single" w:color="BBBBBB" w:sz="1"/><w:right w:val="single" w:color="BBBBBB" w:sz="1"/></w:tcBorders><w:shd w:fill="FFF2CC" w:val="clear"/><w:tcMar><w:top w:type="dxa" w:w="60"/><w:left w:type="dxa" w:w="110"/><w:bottom w:type="dxa" w:w="60"/><w:right w:type="dxa" w:w="110"/></w:tcMar></w:tcPr><w:p><w:r><w:rPr><w:b w:val="false"/><w:bCs w:val="false"/><w:color w:val="000000"/></w:rPr><w:t xml:space="preserve">[TO BE DEFINED]</w:t></w:r></w:p></w:tc></w:tr><w:tr>&lt;w:trPr&gt;&lt;w:tblHeader w:val="false"/&gt;&lt;/w:trPr&gt;&lt;w:tc&gt;&lt;w:tcPr&gt;&lt;w:tcW w:type="dxa" w:w="4680"/&gt;&lt;w:tcBorders&gt;&lt;w:top w:val="single" w:color="BBBBBB" w:sz="1"/&gt;&lt;w:left w:val="single" w:color="BBBBBB" w:sz="1"/&gt;&lt;w:bottom w:val="single" w:color="BBBBBB" w:sz="1"/&gt;&lt;w:right w:val="single" w:color="BBBBBB" w:sz="1"/&gt;&lt;/w:tcBorders&gt;&lt;w:tcMar&gt;&lt;w:top w:type="dxa" w:w="60"/&gt;&lt;w:left w:type="dxa" w:w="110"/&gt;&lt;w:bottom w:type="dxa" w:w="60"/&gt;&lt;w:right w:type="dxa" w:w="110"/&gt;&lt;/w:tcMar&gt;&lt;/w:tcPr&gt;&lt;w:p&gt;&lt;w:r&gt;&lt;w:rPr&gt;&lt;w:b w:val="false"/&gt;&lt;w:bCs w:val="false"/&gt;&lt;w:color w:val="000000"/&gt;&lt;/w:rPr&gt;&lt;w:t xml:space="preserve"&gt;External geotechnical office (GE): {{GE_OFFICE}}</w:t></w:r></w:p></w:tc><w:tc><w:tcPr><w:tcW w:type="dxa" w:w="4680"/><w:tcBorders><w:top w:val="single" w:color="BBBBBB" w:sz="1"/><w:left w:val="single" w:color="BBBBBB" w:sz="1"/><w:bottom w:val="single" w:color="BBBBBB" w:sz="1"/><w:right w:val="single" w:color="BBBBBB" w:sz="1"/></w:tcBorders><w:shd w:fill="FFF2CC" w:val="clear"/><w:tcMar><w:top w:type="dxa" w:w="60"/><w:left w:type="dxa" w:w="110"/><w:bottom w:type="dxa" w:w="60"/><w:right w:type="dxa" w:w="110"/></w:tcMar></w:tcPr><w:p><w:r><w:rPr><w:b w:val="false"/><w:bCs w:val="false"/><w:color w:val="000000"/></w:rPr><w:t xml:space="preserve">[TO BE DEFINED]</w:t></w:r></w:p></w:tc></w:tr></w:tbl><w:p><w:pPr><w:pStyle w:val="Heading1"/></w:pPr><w:r><w:t xml:space="preserve">5. Naming convention (mandatory)</w:t></w:r></w:p><w:p><w:pPr><w:spacing w:after="120"/></w:pPr><w:r><w:t xml:space="preserve">Every information container is named: MC-Originator-Level-Type-Discipline-Number_Status_Revision (e.g. {{CODE}}-{{OR}}-00-M3-STR-0001_S2_P01). Any file breaking the convention shall be rejected. Full code legend in the BEP and the Exchange Flow Matrix (Codes sheet).</w:t></w:r></w:p><w:p><w:pPr><w:pStyle w:val="Heading1"/></w:pPr><w:r><w:t xml:space="preserve">6. Common Data Environment</w:t></w:r></w:p><w:p><w:pPr><w:spacing w:after="120"/></w:pPr><w:r><w:t xml:space="preserve">All information is produced, checked, shared and archived through the CDE (platform: Google Drive, folder-based) with four states: WIP → Shared → Published → Archived. External parties deliver only into 01_Incoming and never into the CDE directly. No information is exchanged by e-mail; e-mails reference container IDs only.</w:t></w:r></w:p><w:p><w:pPr><w:pStyle w:val="Heading1"/></w:pPr><w:r><w:t xml:space="preserve">7. Information delivery</w:t></w:r></w:p><w:p><w:pPr><w:spacing w:after="120"/></w:pPr><w:r><w:t xml:space="preserve">Information is delivered per the MIDP/TIDP at milestones M1–M5 to the level of information need defined in the IE Worksheet (EN 17412-1). Delivery formats: native (RVT), IFC and PDF, plus DWG for drawings.</w:t></w:r></w:p><w:p><w:pPr><w:pStyle w:val="Heading1"/></w:pPr><w:r><w:t xml:space="preserve">8. Verification and acceptance</w:t></w:r></w:p><w:p><w:pPr><w:spacing w:after="120"/></w:pPr><w:r><w:t xml:space="preserve">Incoming external information is verified within 5 working days (completeness, coordinates, format, naming). Deliverables are accepted against: correct naming, shared coordinates, level of information need met, and zero unresolved clashes at M4.</w:t></w:r></w:p><w:p><w:pPr><w:pStyle w:val="Heading1"/></w:pPr><w:r><w:t xml:space="preserve">9. Model size rule (300 MB)</w:t></w:r></w:p><w:p><w:pPr><w:spacing w:after="120"/></w:pPr><w:r><w:t xml:space="preserve">No native authoring model (.rvt) may exceed 300 MB. Escalation: audit &amp; purge first; splitting is a last resort, requires BIM Manager approval and is documented as a BEP change (see BEP Section G and rule 5.2d).</w:t></w:r></w:p><w:p><w:pPr><w:pStyle w:val="Heading1"/></w:pPr><w:r><w:t xml:space="preserve">10. Intellectual property</w:t></w:r></w:p><w:p><w:pPr><w:spacing w:after="120"/></w:pPr><w:r><w:t xml:space="preserve">Each Appointed Party retains authorship of the information it creates. The Appointing Party is granted a non-exclusive licence to use the delivered information for the permitted purpose of the project (design, construction, and operation of the asset). Sub-licensing and re-use beyond the project require written consent. Detailed IP terms: [TO BE DEFINED — subject to legal review].</w:t></w:r></w:p><w:p><w:pPr><w:pStyle w:val="Heading1"/></w:pPr><w:r><w:t xml:space="preserve">11. Liability</w:t></w:r></w:p><w:p><w:pPr><w:spacing w:after="120"/></w:pPr><w:r><w:t xml:space="preserve">Provision of information through the CDE does not transfer design responsibility between Parties. Each Party remains responsible for the information it authors. Reliance on shared information is subject to its status code (only status A / Published is authorised for use).</w:t></w:r></w:p><w:p><w:pPr><w:pStyle w:val="Heading1"/></w:pPr><w:r><w:t xml:space="preserve">12. Change management</w:t></w:r></w:p><w:p><w:pPr><w:spacing w:after="120"/></w:pPr><w:r><w:t xml:space="preserve">Changes to this Protocol, the EIR or the BEP follow the BEP change-management process (who proposes, who approves, how it is re-issued), recorded in the BEP revision history.</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{{CODE}}-{{OR}}-XX-RP-ZZZ-0002_BIM-Protocol   |   Page  of </w:t>
    </w:r>
    <w:r>
      <w:rPr>
        <w:color w:val="888888"/>
        <w:sz w:val="16"/>
        <w:szCs w:val="16"/>
      </w:rPr>
      <w:fldChar w:fldCharType="begin"/>
      <w:instrText xml:space="preserve">PAGE</w:instrText>
      <w:fldChar w:fldCharType="separate"/>
      <w:fldChar w:fldCharType="end"/>
    </w:r>
    <w:r>
      <w:rPr>
        <w:color w:val="888888"/>
        <w:sz w:val="16"/>
        <w:szCs w:val="16"/>
      </w:rPr>
      <w:t xml:space="preserve"/>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color w:val="888888"/>
        <w:sz w:val="16"/>
        <w:szCs w:val="16"/>
      </w:rPr>
      <w:t xml:space="preserve">{{PROJECT_NAME}}  |  Code: {{CODE}}  |  ISO 19650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A88"/>
      <w:sz w:val="24"/>
      <w:szCs w:val="24"/>
    </w:rPr>
  </w:style>
  <w:style w:type="paragraph" w:styleId="Heading3">
    <w:name w:val="Heading 3"/>
    <w:basedOn w:val="Normal"/>
    <w:next w:val="Normal"/>
    <w:qFormat/>
    <w:pPr>
      <w:spacing w:after="60" w:before="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2026-07-05T22:30:10.583Z</dcterms:created>
  <dcterms:modified xsi:type="dcterms:W3CDTF">2026-07-05T22:30:10.583Z</dcterms:modified>
</cp:coreProperties>
</file>

<file path=docProps/custom.xml><?xml version="1.0" encoding="utf-8"?>
<Properties xmlns="http://schemas.openxmlformats.org/officeDocument/2006/custom-properties" xmlns:vt="http://schemas.openxmlformats.org/officeDocument/2006/docPropsVTypes"/>
</file>