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Exchange Information Requirements (EIR)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Authored by EC on behalf of the Client — requires Client review and adoption.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Project: {{PROJECT_NAME}}   ·   Code: {{CODE}}   ·   Client: {{CLIENT}}   ·   Address: {{ADDRESS}}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Author / Lead Appointed Party: {{AUTHOR}}   ·   Version {{DOC_VERSION}}   ·   Date: {{DOC_DATE}}   ·   Container: {{CODE}}-{{OR}}-XX-RP-ZZZ-0003_EIR</w:t>
      </w:r>
    </w:p>
    <w:p>
      <w:pPr>
        <w:shd w:fill="FFF2CC" w:val="clear"/>
        <w:spacing w:after="160"/>
      </w:pPr>
      <w:r>
        <w:rPr>
          <w:b/>
          <w:bCs/>
        </w:rPr>
        <w:t xml:space="preserve">CLIENT ADOPTION REQUIRED. This EIR is authored by the Lead Appointed Party ({{OR}}) on behalf of the Appointing Party ({{CLIENT}}). It must be reviewed and formally adopted by the Client representative {{CLIENT_REP}} before it becomes binding.</w:t>
      </w:r>
      <w:r>
        <w:t xml:space="preserve"/>
      </w:r>
    </w:p>
    <w:p>
      <w:pPr>
        <w:pStyle w:val="Heading1"/>
      </w:pPr>
      <w:r>
        <w:t xml:space="preserve">1. Purpose of the PIM</w:t>
      </w:r>
    </w:p>
    <w:p>
      <w:pPr>
        <w:spacing w:after="120"/>
      </w:pPr>
      <w:r>
        <w:t xml:space="preserve">The Project Information Model (PIM) shall be produced and used for the following purposes: coordination, verification (structural/foundation analysis), quantities (take-off) and construction documentation. Asset management use is [TO BE CONFIRMED by the Client].</w:t>
      </w:r>
    </w:p>
    <w:p>
      <w:pPr>
        <w:pStyle w:val="Heading1"/>
      </w:pPr>
      <w:r>
        <w:t xml:space="preserve">2. Information requirements</w:t>
      </w:r>
    </w:p>
    <w:p>
      <w:pPr>
        <w:pStyle w:val="Heading2"/>
      </w:pPr>
      <w:r>
        <w:t xml:space="preserve">2.1 Organizational information requirements (OIR)</w:t>
      </w:r>
    </w:p>
    <w:p>
      <w:pPr>
        <w:spacing w:after="120"/>
      </w:pPr>
      <w:r>
        <w:t xml:space="preserve">Client standards and any corporate requirements ({{CLIENT}} restaurant standards, brand and operational requirements): {{BRAND}} Client OIR: {{OIR}}</w:t>
      </w:r>
    </w:p>
    <w:p>
      <w:pPr>
        <w:pStyle w:val="Heading2"/>
      </w:pPr>
      <w:r>
        <w:t xml:space="preserve">2.2 Project information requirements (PIR)</w:t>
      </w:r>
    </w:p>
    <w:p>
      <w:pPr>
        <w:spacing w:after="120"/>
      </w:pPr>
      <w:r>
        <w:t xml:space="preserve">Decisions the information must support at each milestone: feasibility/site (M1), design coordination (M2–M4), and construction documentation (M5). Key decisions: structural feasibility, MEP-structure coordination, quantities for procurement. Client PIR: {{PIR}}</w:t>
      </w:r>
    </w:p>
    <w:p>
      <w:pPr>
        <w:pStyle w:val="Heading2"/>
      </w:pPr>
      <w:r>
        <w:t xml:space="preserve">2.3 Asset information requirements (AIR)</w:t>
      </w:r>
    </w:p>
    <w:p>
      <w:pPr>
        <w:spacing w:after="120"/>
      </w:pPr>
      <w:r>
        <w:t xml:space="preserve">If asset management is confirmed: asset data parameters, classification and handover format: {{AIR}} Otherwise not applicable.</w:t>
      </w:r>
    </w:p>
    <w:p>
      <w:pPr>
        <w:pStyle w:val="Heading1"/>
      </w:pPr>
      <w:r>
        <w:t xml:space="preserve">3. Level of information need (EN 17412-1)</w:t>
      </w:r>
    </w:p>
    <w:p>
      <w:pPr>
        <w:spacing w:after="120"/>
      </w:pPr>
      <w:r>
        <w:t xml:space="preserve">Defined per exchange in the IE Worksheet ({{CODE}}-{{OR}}-XX-SP-ZZZ-0006). Geometry, information (data) and documentation are specified separately per container and milestone; a single LOD number is not used.</w:t>
      </w:r>
    </w:p>
    <w:p>
      <w:pPr>
        <w:pStyle w:val="Heading1"/>
      </w:pPr>
      <w:r>
        <w:t xml:space="preserve">4. Deliverable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Native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Exchange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Documentation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Models (S, H)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RVT (Revit 2026)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IFC 2x3/4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Drawings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RVT sheets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DWG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Analysis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Robot / Midas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 report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Coordination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Federation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BCF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 clash report</w:t>
            </w:r>
          </w:p>
        </w:tc>
      </w:tr>
    </w:tbl>
    <w:p>
      <w:pPr>
        <w:pStyle w:val="Heading1"/>
      </w:pPr>
      <w:r>
        <w:t xml:space="preserve">5. Milestones (data drops)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M1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 / reference information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{{M1_DATE}}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Structural concept + first federation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{{M2_DATE}}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M3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Developed S + H, coordinated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{{M3_DATE}}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M4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Coordinated, clash-free 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{{M4_DATE}}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M5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Construction documentation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{{M5_DATE}}</w:t>
            </w:r>
          </w:p>
        </w:tc>
      </w:tr>
    </w:tbl>
    <w:p>
      <w:pPr>
        <w:pStyle w:val="Heading1"/>
      </w:pPr>
      <w:r>
        <w:t xml:space="preserve">6. 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Correct naming per the convention (Section 5 of the Kickoff Standard).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Shared coordinates and common origin across all disciplines and incoming models.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Level of information need met per the IE Worksheet (EN 17412-1).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Zero unresolved clashes at M4 (Revit Interference Check).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Native .rvt models ≤ 300 MB (rule 5.2d).</w:t>
      </w:r>
    </w:p>
    <w:p>
      <w:pPr>
        <w:pStyle w:val="Heading1"/>
      </w:pPr>
      <w:r>
        <w:t xml:space="preserve">7. CDE requirements</w:t>
      </w:r>
    </w:p>
    <w:p>
      <w:pPr>
        <w:spacing w:after="120"/>
      </w:pPr>
      <w:r>
        <w:t xml:space="preserve">Single CDE (Google Drive, folder-based) with states WIP → Shared → Published → Archived. External parties deliver only into 01_Incoming (verification ≤ 5 working days). The Client accesses 03_Published (and 02_Shared at S3/S4 review). Permissions per the User Manual matrix.</w:t>
      </w:r>
    </w:p>
    <w:p>
      <w:pPr>
        <w:pStyle w:val="Heading1"/>
      </w:pPr>
      <w:r>
        <w:t xml:space="preserve">8. Security requirements</w:t>
      </w:r>
    </w:p>
    <w:p>
      <w:pPr>
        <w:spacing w:after="120"/>
      </w:pPr>
      <w:r>
        <w:t xml:space="preserve">ISO 19650-5 security-minded approach applies if the project is designated sensitive: [TO BE CONFIRMED]. Default: standard confidentiality and access control; no 'anyone with the link' sharing.</w:t>
      </w:r>
    </w:p>
    <w:p>
      <w:pPr>
        <w:pStyle w:val="Heading1"/>
      </w:pPr>
      <w:r>
        <w:t xml:space="preserve">9. Supporting information the Client must provide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Architecture model / drawings (via originator AR) — [EXTERNAL ARCHITECTURE OFFICE — TO BE DEFINED].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Geotechnical / borehole report (via originator GE) — [EXTERNAL GEOTECHNICAL OFFICE — TO BE DEFINED].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Topographic survey and site coordinates — [TO BE DEFINED].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Confirmation of PIM purposes, milestone dates and any asset-management requirement.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{{CODE}}-{{OR}}-XX-RP-ZZZ-0003_EIR   |   Page  of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/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</w:pPr>
    <w:r>
      <w:rPr>
        <w:color w:val="888888"/>
        <w:sz w:val="16"/>
        <w:szCs w:val="16"/>
      </w:rPr>
      <w:t xml:space="preserve">{{PROJECT_NAME}}  |  Code: {{CODE}}  |  ISO 19650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2026-07-05T22:30:10.588Z</dcterms:created>
  <dcterms:modified xsi:type="dcterms:W3CDTF">2026-07-05T22:30:10.588Z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