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5C342D4C" w:rsidR="00812185" w:rsidRPr="00812185" w:rsidRDefault="00812185" w:rsidP="00812185">
      <w:pPr>
        <w:pStyle w:val="FormFieldCaption1"/>
        <w:pBdr>
          <w:between w:val="single" w:sz="4" w:space="1" w:color="auto"/>
        </w:pBdr>
        <w:rPr>
          <w:sz w:val="20"/>
          <w:szCs w:val="20"/>
        </w:rPr>
      </w:pPr>
      <w:r>
        <w:t>NAME:</w:t>
      </w:r>
      <w:r w:rsidR="00280656">
        <w:t xml:space="preserve"> </w:t>
      </w:r>
      <w:r w:rsidR="00280656" w:rsidRPr="00280656">
        <w:rPr>
          <w:sz w:val="22"/>
          <w:szCs w:val="22"/>
        </w:rPr>
        <w:t>Loyal A. Goff</w:t>
      </w:r>
    </w:p>
    <w:p w14:paraId="39FFD988" w14:textId="58BAB1B9" w:rsidR="003E1568" w:rsidRDefault="003E1568" w:rsidP="00812185">
      <w:pPr>
        <w:pStyle w:val="FormFieldCaption1"/>
        <w:pBdr>
          <w:between w:val="single" w:sz="4" w:space="1" w:color="auto"/>
        </w:pBdr>
      </w:pPr>
      <w:r>
        <w:t>eRA COMMONS USER NAME (credential, e.g., agency login):</w:t>
      </w:r>
      <w:r w:rsidR="00280656">
        <w:t xml:space="preserve"> </w:t>
      </w:r>
      <w:r w:rsidR="00280656" w:rsidRPr="001550A0">
        <w:rPr>
          <w:sz w:val="22"/>
          <w:szCs w:val="22"/>
        </w:rPr>
        <w:t>LAGOFF</w:t>
      </w:r>
    </w:p>
    <w:p w14:paraId="0A2AD4B2" w14:textId="7E299C34" w:rsidR="00812185" w:rsidRDefault="00812185" w:rsidP="00812185">
      <w:pPr>
        <w:pStyle w:val="FormFieldCaption1"/>
        <w:pBdr>
          <w:between w:val="single" w:sz="4" w:space="1" w:color="auto"/>
        </w:pBdr>
      </w:pPr>
      <w:r>
        <w:t>POSITION TITLE:</w:t>
      </w:r>
      <w:r w:rsidR="00280656">
        <w:t xml:space="preserve"> </w:t>
      </w:r>
      <w:r w:rsidR="00280656" w:rsidRPr="001550A0">
        <w:rPr>
          <w:sz w:val="22"/>
          <w:szCs w:val="22"/>
        </w:rPr>
        <w:t>Assistant Professor of Neuroscience</w:t>
      </w:r>
      <w:r w:rsidR="00F1772F">
        <w:rPr>
          <w:sz w:val="22"/>
          <w:szCs w:val="22"/>
        </w:rPr>
        <w:t xml:space="preserve"> &amp; Genetic Medicine</w:t>
      </w:r>
    </w:p>
    <w:p w14:paraId="5DFCD768" w14:textId="1EF8B6EE" w:rsidR="00812185" w:rsidRPr="00A93453" w:rsidRDefault="00812185" w:rsidP="003E1568">
      <w:pPr>
        <w:pStyle w:val="FormFieldCaption1"/>
        <w:pBdr>
          <w:between w:val="single" w:sz="4" w:space="1" w:color="auto"/>
        </w:pBdr>
      </w:pPr>
      <w:r>
        <w:t xml:space="preserve">EDUCATION/TRAINING </w:t>
      </w:r>
      <w:r w:rsidRPr="00812185">
        <w:rPr>
          <w:rStyle w:val="Emphasis"/>
        </w:rPr>
        <w:t>(Begin with baccalaureate or other initial professional education, such as nursing, include postdoctoral training and residency training if applicable.</w:t>
      </w:r>
      <w:r w:rsidR="00240E97">
        <w:rPr>
          <w:rStyle w:val="Emphasis"/>
        </w:rPr>
        <w:t xml:space="preserve"> Add/delete rows as necessary.</w:t>
      </w:r>
      <w:r w:rsidRPr="00812185">
        <w:rPr>
          <w:rStyle w:val="Emphasis"/>
        </w:rPr>
        <w:t>)</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95"/>
        <w:gridCol w:w="1446"/>
        <w:gridCol w:w="1446"/>
        <w:gridCol w:w="2603"/>
      </w:tblGrid>
      <w:tr w:rsidR="00D825A1" w14:paraId="47316B55" w14:textId="77777777" w:rsidTr="00280656">
        <w:trPr>
          <w:cantSplit/>
          <w:tblHeader/>
        </w:trPr>
        <w:tc>
          <w:tcPr>
            <w:tcW w:w="5395" w:type="dxa"/>
            <w:tcBorders>
              <w:top w:val="single" w:sz="4" w:space="0" w:color="auto"/>
              <w:bottom w:val="single" w:sz="4" w:space="0" w:color="auto"/>
            </w:tcBorders>
            <w:vAlign w:val="center"/>
          </w:tcPr>
          <w:p w14:paraId="347E21CF" w14:textId="702EA885" w:rsidR="00D825A1" w:rsidRDefault="00D825A1" w:rsidP="00E37E57">
            <w:pPr>
              <w:pStyle w:val="FormFieldCaption"/>
              <w:jc w:val="center"/>
            </w:pPr>
            <w:r>
              <w:t>INSTITUTION AND LOCATION</w:t>
            </w:r>
          </w:p>
        </w:tc>
        <w:tc>
          <w:tcPr>
            <w:tcW w:w="1446" w:type="dxa"/>
            <w:tcBorders>
              <w:top w:val="single" w:sz="4" w:space="0" w:color="auto"/>
              <w:bottom w:val="single" w:sz="4" w:space="0" w:color="auto"/>
            </w:tcBorders>
            <w:vAlign w:val="center"/>
          </w:tcPr>
          <w:p w14:paraId="65E3CF86" w14:textId="77777777" w:rsidR="00D825A1" w:rsidRDefault="00D825A1" w:rsidP="00E37E57">
            <w:pPr>
              <w:pStyle w:val="FormFieldCaption"/>
              <w:jc w:val="center"/>
            </w:pPr>
            <w:r>
              <w:t>DEGREE</w:t>
            </w:r>
          </w:p>
          <w:p w14:paraId="6F9D32E6" w14:textId="77777777" w:rsidR="00D825A1" w:rsidRPr="00152B5E" w:rsidRDefault="00D825A1" w:rsidP="00E37E57">
            <w:pPr>
              <w:pStyle w:val="FormFieldCaption"/>
              <w:jc w:val="center"/>
              <w:rPr>
                <w:rStyle w:val="Emphasis"/>
              </w:rPr>
            </w:pPr>
            <w:r w:rsidRPr="00152B5E">
              <w:rPr>
                <w:rStyle w:val="Emphasis"/>
              </w:rPr>
              <w:t>(if applicable)</w:t>
            </w:r>
          </w:p>
          <w:p w14:paraId="7CB69EFB" w14:textId="77777777" w:rsidR="00D825A1" w:rsidRDefault="00D825A1" w:rsidP="00E37E57">
            <w:pPr>
              <w:pStyle w:val="FormFieldCaption"/>
            </w:pPr>
          </w:p>
        </w:tc>
        <w:tc>
          <w:tcPr>
            <w:tcW w:w="1446" w:type="dxa"/>
            <w:tcBorders>
              <w:top w:val="single" w:sz="4" w:space="0" w:color="auto"/>
              <w:bottom w:val="single" w:sz="4" w:space="0" w:color="auto"/>
            </w:tcBorders>
            <w:vAlign w:val="center"/>
          </w:tcPr>
          <w:p w14:paraId="595B4C76" w14:textId="77777777" w:rsidR="00240E97" w:rsidRDefault="00240E97" w:rsidP="00E37E57">
            <w:pPr>
              <w:pStyle w:val="FormFieldCaption"/>
              <w:jc w:val="center"/>
            </w:pPr>
            <w:r>
              <w:t>Completion Date</w:t>
            </w:r>
          </w:p>
          <w:p w14:paraId="203C3A0F" w14:textId="3F978BB5" w:rsidR="00D825A1" w:rsidRDefault="00D825A1" w:rsidP="00E37E57">
            <w:pPr>
              <w:pStyle w:val="FormFieldCaption"/>
              <w:jc w:val="center"/>
            </w:pPr>
            <w:r>
              <w:t>MM/YYYY</w:t>
            </w:r>
          </w:p>
          <w:p w14:paraId="418C108A" w14:textId="77777777" w:rsidR="00D825A1" w:rsidRDefault="00D825A1" w:rsidP="00E37E57">
            <w:pPr>
              <w:pStyle w:val="FormFieldCaption"/>
            </w:pPr>
          </w:p>
        </w:tc>
        <w:tc>
          <w:tcPr>
            <w:tcW w:w="2603" w:type="dxa"/>
            <w:tcBorders>
              <w:top w:val="single" w:sz="4" w:space="0" w:color="auto"/>
              <w:bottom w:val="single" w:sz="4" w:space="0" w:color="auto"/>
            </w:tcBorders>
            <w:vAlign w:val="center"/>
          </w:tcPr>
          <w:p w14:paraId="49221561" w14:textId="77777777" w:rsidR="00D825A1" w:rsidRDefault="00D825A1" w:rsidP="00E37E57">
            <w:pPr>
              <w:pStyle w:val="FormFieldCaption"/>
              <w:jc w:val="center"/>
            </w:pPr>
            <w:r>
              <w:t>FIELD OF STUDY</w:t>
            </w:r>
          </w:p>
          <w:p w14:paraId="3B9B12EA" w14:textId="77777777" w:rsidR="00D825A1" w:rsidRDefault="00D825A1" w:rsidP="00E37E57">
            <w:pPr>
              <w:pStyle w:val="FormFieldCaption"/>
            </w:pPr>
          </w:p>
        </w:tc>
      </w:tr>
      <w:tr w:rsidR="00280656" w14:paraId="4E4FD7B6" w14:textId="77777777" w:rsidTr="00280656">
        <w:trPr>
          <w:cantSplit/>
          <w:trHeight w:val="395"/>
        </w:trPr>
        <w:tc>
          <w:tcPr>
            <w:tcW w:w="5395" w:type="dxa"/>
            <w:tcBorders>
              <w:top w:val="single" w:sz="4" w:space="0" w:color="auto"/>
            </w:tcBorders>
          </w:tcPr>
          <w:p w14:paraId="5EE942F5" w14:textId="77777777" w:rsidR="00280656" w:rsidRPr="00160C08" w:rsidRDefault="00280656" w:rsidP="00F1772F">
            <w:pPr>
              <w:widowControl w:val="0"/>
              <w:adjustRightInd w:val="0"/>
              <w:rPr>
                <w:rFonts w:cs="Arial"/>
                <w:sz w:val="20"/>
                <w:szCs w:val="20"/>
              </w:rPr>
            </w:pPr>
            <w:r w:rsidRPr="00160C08">
              <w:rPr>
                <w:rFonts w:cs="Arial"/>
                <w:sz w:val="20"/>
                <w:szCs w:val="20"/>
              </w:rPr>
              <w:t>The College of New Jersey, Ewing, NJ </w:t>
            </w:r>
          </w:p>
          <w:p w14:paraId="4DEF6AED" w14:textId="1E912888" w:rsidR="00280656" w:rsidRDefault="00280656" w:rsidP="00E37E57">
            <w:pPr>
              <w:pStyle w:val="FormFieldCaption"/>
            </w:pPr>
          </w:p>
        </w:tc>
        <w:tc>
          <w:tcPr>
            <w:tcW w:w="1446" w:type="dxa"/>
            <w:tcBorders>
              <w:top w:val="single" w:sz="4" w:space="0" w:color="auto"/>
            </w:tcBorders>
          </w:tcPr>
          <w:p w14:paraId="35BAA645" w14:textId="77777777" w:rsidR="00280656" w:rsidRPr="00160C08" w:rsidRDefault="00280656" w:rsidP="00280656">
            <w:pPr>
              <w:widowControl w:val="0"/>
              <w:adjustRightInd w:val="0"/>
              <w:jc w:val="center"/>
              <w:rPr>
                <w:rFonts w:cs="Arial"/>
                <w:sz w:val="20"/>
                <w:szCs w:val="20"/>
              </w:rPr>
            </w:pPr>
            <w:r w:rsidRPr="00160C08">
              <w:rPr>
                <w:rFonts w:cs="Arial"/>
                <w:sz w:val="20"/>
                <w:szCs w:val="20"/>
              </w:rPr>
              <w:t>B.S.</w:t>
            </w:r>
          </w:p>
          <w:p w14:paraId="74E5F823" w14:textId="77777777" w:rsidR="00280656" w:rsidRDefault="00280656" w:rsidP="00280656">
            <w:pPr>
              <w:pStyle w:val="FormFieldCaption"/>
              <w:jc w:val="center"/>
            </w:pPr>
          </w:p>
        </w:tc>
        <w:tc>
          <w:tcPr>
            <w:tcW w:w="1446" w:type="dxa"/>
            <w:tcBorders>
              <w:top w:val="single" w:sz="4" w:space="0" w:color="auto"/>
            </w:tcBorders>
          </w:tcPr>
          <w:p w14:paraId="548962CE" w14:textId="5987FAE9" w:rsidR="00280656" w:rsidRPr="00160C08" w:rsidRDefault="00280656" w:rsidP="00280656">
            <w:pPr>
              <w:widowControl w:val="0"/>
              <w:adjustRightInd w:val="0"/>
              <w:jc w:val="center"/>
              <w:rPr>
                <w:rFonts w:cs="Arial"/>
                <w:sz w:val="20"/>
                <w:szCs w:val="20"/>
              </w:rPr>
            </w:pPr>
            <w:r w:rsidRPr="00160C08">
              <w:rPr>
                <w:rFonts w:cs="Arial"/>
                <w:sz w:val="20"/>
                <w:szCs w:val="20"/>
              </w:rPr>
              <w:t>05/</w:t>
            </w:r>
            <w:r w:rsidR="00F1772F">
              <w:rPr>
                <w:rFonts w:cs="Arial"/>
                <w:sz w:val="20"/>
                <w:szCs w:val="20"/>
              </w:rPr>
              <w:t>20</w:t>
            </w:r>
            <w:r w:rsidRPr="00160C08">
              <w:rPr>
                <w:rFonts w:cs="Arial"/>
                <w:sz w:val="20"/>
                <w:szCs w:val="20"/>
              </w:rPr>
              <w:t>01</w:t>
            </w:r>
          </w:p>
          <w:p w14:paraId="356D4217" w14:textId="77777777" w:rsidR="00280656" w:rsidRDefault="00280656" w:rsidP="00280656">
            <w:pPr>
              <w:pStyle w:val="FormFieldCaption"/>
              <w:jc w:val="center"/>
            </w:pPr>
          </w:p>
        </w:tc>
        <w:tc>
          <w:tcPr>
            <w:tcW w:w="2603" w:type="dxa"/>
            <w:tcBorders>
              <w:top w:val="single" w:sz="4" w:space="0" w:color="auto"/>
            </w:tcBorders>
          </w:tcPr>
          <w:p w14:paraId="35A06C74" w14:textId="77777777" w:rsidR="00280656" w:rsidRPr="00160C08" w:rsidRDefault="00280656" w:rsidP="00F1772F">
            <w:pPr>
              <w:pStyle w:val="DataField11pt-Single"/>
              <w:rPr>
                <w:sz w:val="20"/>
              </w:rPr>
            </w:pPr>
            <w:r w:rsidRPr="00160C08">
              <w:rPr>
                <w:sz w:val="20"/>
              </w:rPr>
              <w:t>Biology</w:t>
            </w:r>
          </w:p>
          <w:p w14:paraId="31BA2CA7" w14:textId="56E6D2B7" w:rsidR="00280656" w:rsidRDefault="00280656" w:rsidP="00E37E57">
            <w:pPr>
              <w:pStyle w:val="FormFieldCaption"/>
            </w:pPr>
          </w:p>
        </w:tc>
      </w:tr>
      <w:tr w:rsidR="00280656" w14:paraId="3C3A2E32" w14:textId="77777777" w:rsidTr="00280656">
        <w:trPr>
          <w:cantSplit/>
          <w:trHeight w:val="395"/>
        </w:trPr>
        <w:tc>
          <w:tcPr>
            <w:tcW w:w="5395" w:type="dxa"/>
          </w:tcPr>
          <w:p w14:paraId="3BF9208F" w14:textId="666D5C08" w:rsidR="00280656" w:rsidRDefault="00280656" w:rsidP="00E37E57">
            <w:pPr>
              <w:pStyle w:val="FormFieldCaption"/>
            </w:pPr>
            <w:r w:rsidRPr="00160C08">
              <w:rPr>
                <w:sz w:val="20"/>
              </w:rPr>
              <w:t>Rutgers University, Piscataway, NJ </w:t>
            </w:r>
          </w:p>
        </w:tc>
        <w:tc>
          <w:tcPr>
            <w:tcW w:w="1446" w:type="dxa"/>
          </w:tcPr>
          <w:p w14:paraId="0C707A19" w14:textId="77777777" w:rsidR="00280656" w:rsidRPr="00160C08" w:rsidRDefault="00280656" w:rsidP="00280656">
            <w:pPr>
              <w:widowControl w:val="0"/>
              <w:adjustRightInd w:val="0"/>
              <w:jc w:val="center"/>
              <w:rPr>
                <w:rFonts w:cs="Arial"/>
                <w:sz w:val="20"/>
                <w:szCs w:val="20"/>
              </w:rPr>
            </w:pPr>
            <w:r w:rsidRPr="00160C08">
              <w:rPr>
                <w:rFonts w:cs="Arial"/>
                <w:sz w:val="20"/>
                <w:szCs w:val="20"/>
              </w:rPr>
              <w:t>Ph.D.</w:t>
            </w:r>
          </w:p>
          <w:p w14:paraId="5F62F1FA" w14:textId="77777777" w:rsidR="00280656" w:rsidRDefault="00280656" w:rsidP="00280656">
            <w:pPr>
              <w:pStyle w:val="FormFieldCaption"/>
              <w:jc w:val="center"/>
            </w:pPr>
          </w:p>
        </w:tc>
        <w:tc>
          <w:tcPr>
            <w:tcW w:w="1446" w:type="dxa"/>
          </w:tcPr>
          <w:p w14:paraId="5208C6BB" w14:textId="50B190A3" w:rsidR="00280656" w:rsidRPr="00160C08" w:rsidRDefault="00280656" w:rsidP="00280656">
            <w:pPr>
              <w:widowControl w:val="0"/>
              <w:adjustRightInd w:val="0"/>
              <w:jc w:val="center"/>
              <w:rPr>
                <w:rFonts w:cs="Arial"/>
                <w:sz w:val="20"/>
                <w:szCs w:val="20"/>
              </w:rPr>
            </w:pPr>
            <w:r w:rsidRPr="00160C08">
              <w:rPr>
                <w:rFonts w:cs="Arial"/>
                <w:sz w:val="20"/>
                <w:szCs w:val="20"/>
              </w:rPr>
              <w:t>04/</w:t>
            </w:r>
            <w:r w:rsidR="00F1772F">
              <w:rPr>
                <w:rFonts w:cs="Arial"/>
                <w:sz w:val="20"/>
                <w:szCs w:val="20"/>
              </w:rPr>
              <w:t>20</w:t>
            </w:r>
            <w:r w:rsidRPr="00160C08">
              <w:rPr>
                <w:rFonts w:cs="Arial"/>
                <w:sz w:val="20"/>
                <w:szCs w:val="20"/>
              </w:rPr>
              <w:t>08</w:t>
            </w:r>
          </w:p>
          <w:p w14:paraId="71E9F077" w14:textId="77777777" w:rsidR="00280656" w:rsidRDefault="00280656" w:rsidP="00280656">
            <w:pPr>
              <w:pStyle w:val="FormFieldCaption"/>
              <w:jc w:val="center"/>
            </w:pPr>
          </w:p>
        </w:tc>
        <w:tc>
          <w:tcPr>
            <w:tcW w:w="2603" w:type="dxa"/>
          </w:tcPr>
          <w:p w14:paraId="36BAED9B" w14:textId="6ACB9B90" w:rsidR="00280656" w:rsidRDefault="00280656" w:rsidP="001550A0">
            <w:pPr>
              <w:pStyle w:val="FormFieldCaption"/>
            </w:pPr>
            <w:r w:rsidRPr="00160C08">
              <w:rPr>
                <w:sz w:val="20"/>
              </w:rPr>
              <w:t>Cell &amp; Dev</w:t>
            </w:r>
            <w:r w:rsidR="001550A0">
              <w:rPr>
                <w:sz w:val="20"/>
              </w:rPr>
              <w:t>elopmental</w:t>
            </w:r>
            <w:r w:rsidRPr="00160C08">
              <w:rPr>
                <w:sz w:val="20"/>
              </w:rPr>
              <w:t xml:space="preserve"> Biology</w:t>
            </w:r>
          </w:p>
        </w:tc>
      </w:tr>
      <w:tr w:rsidR="00280656" w14:paraId="000E2AED" w14:textId="77777777" w:rsidTr="00280656">
        <w:trPr>
          <w:cantSplit/>
          <w:trHeight w:val="395"/>
        </w:trPr>
        <w:tc>
          <w:tcPr>
            <w:tcW w:w="5395" w:type="dxa"/>
          </w:tcPr>
          <w:p w14:paraId="277F72FB" w14:textId="77777777" w:rsidR="00280656" w:rsidRPr="00160C08" w:rsidRDefault="00280656" w:rsidP="00F1772F">
            <w:pPr>
              <w:widowControl w:val="0"/>
              <w:adjustRightInd w:val="0"/>
              <w:rPr>
                <w:rFonts w:cs="Arial"/>
                <w:sz w:val="20"/>
                <w:szCs w:val="20"/>
              </w:rPr>
            </w:pPr>
            <w:r w:rsidRPr="00160C08">
              <w:rPr>
                <w:rFonts w:cs="Arial"/>
                <w:sz w:val="20"/>
                <w:szCs w:val="20"/>
              </w:rPr>
              <w:t>Massachusetts Institute of Technology, Cambridge, MA</w:t>
            </w:r>
          </w:p>
          <w:p w14:paraId="3913D4E6" w14:textId="77777777" w:rsidR="00280656" w:rsidRDefault="00280656" w:rsidP="00E37E57">
            <w:pPr>
              <w:pStyle w:val="FormFieldCaption"/>
            </w:pPr>
          </w:p>
        </w:tc>
        <w:tc>
          <w:tcPr>
            <w:tcW w:w="1446" w:type="dxa"/>
          </w:tcPr>
          <w:p w14:paraId="48DB540B" w14:textId="201BCEE9" w:rsidR="00280656" w:rsidRDefault="00280656" w:rsidP="00280656">
            <w:pPr>
              <w:pStyle w:val="FormFieldCaption"/>
              <w:jc w:val="center"/>
            </w:pPr>
            <w:r w:rsidRPr="00160C08">
              <w:rPr>
                <w:sz w:val="20"/>
              </w:rPr>
              <w:t>Postdoc</w:t>
            </w:r>
            <w:r w:rsidR="001550A0">
              <w:rPr>
                <w:sz w:val="20"/>
              </w:rPr>
              <w:t>toral</w:t>
            </w:r>
          </w:p>
        </w:tc>
        <w:tc>
          <w:tcPr>
            <w:tcW w:w="1446" w:type="dxa"/>
          </w:tcPr>
          <w:p w14:paraId="213417B1" w14:textId="4706AECE" w:rsidR="00280656" w:rsidRDefault="00280656" w:rsidP="00280656">
            <w:pPr>
              <w:pStyle w:val="FormFieldCaption"/>
              <w:jc w:val="center"/>
            </w:pPr>
            <w:r>
              <w:rPr>
                <w:sz w:val="20"/>
              </w:rPr>
              <w:t>01/</w:t>
            </w:r>
            <w:r w:rsidR="00F1772F">
              <w:rPr>
                <w:sz w:val="20"/>
              </w:rPr>
              <w:t>20</w:t>
            </w:r>
            <w:r>
              <w:rPr>
                <w:sz w:val="20"/>
              </w:rPr>
              <w:t>14</w:t>
            </w:r>
          </w:p>
        </w:tc>
        <w:tc>
          <w:tcPr>
            <w:tcW w:w="2603" w:type="dxa"/>
          </w:tcPr>
          <w:p w14:paraId="667DB824" w14:textId="5B9A85AD" w:rsidR="00280656" w:rsidRDefault="00280656" w:rsidP="00E37E57">
            <w:pPr>
              <w:pStyle w:val="FormFieldCaption"/>
            </w:pPr>
            <w:r w:rsidRPr="00160C08">
              <w:rPr>
                <w:sz w:val="20"/>
              </w:rPr>
              <w:t>Computational Biology</w:t>
            </w:r>
          </w:p>
        </w:tc>
      </w:tr>
      <w:tr w:rsidR="00280656" w14:paraId="3C9D4CAD" w14:textId="77777777" w:rsidTr="00280656">
        <w:trPr>
          <w:cantSplit/>
          <w:trHeight w:val="395"/>
        </w:trPr>
        <w:tc>
          <w:tcPr>
            <w:tcW w:w="5395" w:type="dxa"/>
          </w:tcPr>
          <w:p w14:paraId="03D94884" w14:textId="52072EB0" w:rsidR="00280656" w:rsidRDefault="00280656" w:rsidP="00E37E57">
            <w:pPr>
              <w:pStyle w:val="FormFieldCaption"/>
            </w:pPr>
            <w:r w:rsidRPr="00160C08">
              <w:rPr>
                <w:sz w:val="20"/>
              </w:rPr>
              <w:t>Harvard University, Cambridge, MA</w:t>
            </w:r>
          </w:p>
        </w:tc>
        <w:tc>
          <w:tcPr>
            <w:tcW w:w="1446" w:type="dxa"/>
          </w:tcPr>
          <w:p w14:paraId="41BFB51D" w14:textId="65DD9430" w:rsidR="00280656" w:rsidRDefault="00280656" w:rsidP="00280656">
            <w:pPr>
              <w:pStyle w:val="FormFieldCaption"/>
              <w:jc w:val="center"/>
            </w:pPr>
            <w:r w:rsidRPr="00160C08">
              <w:rPr>
                <w:sz w:val="20"/>
              </w:rPr>
              <w:t>Postdoc</w:t>
            </w:r>
            <w:r w:rsidR="001550A0">
              <w:rPr>
                <w:sz w:val="20"/>
              </w:rPr>
              <w:t>toral</w:t>
            </w:r>
          </w:p>
        </w:tc>
        <w:tc>
          <w:tcPr>
            <w:tcW w:w="1446" w:type="dxa"/>
          </w:tcPr>
          <w:p w14:paraId="7293E61C" w14:textId="666CFCC2" w:rsidR="00280656" w:rsidRDefault="00280656" w:rsidP="00280656">
            <w:pPr>
              <w:pStyle w:val="FormFieldCaption"/>
              <w:jc w:val="center"/>
            </w:pPr>
            <w:r>
              <w:rPr>
                <w:sz w:val="20"/>
              </w:rPr>
              <w:t>08/</w:t>
            </w:r>
            <w:r w:rsidR="00F1772F">
              <w:rPr>
                <w:sz w:val="20"/>
              </w:rPr>
              <w:t>20</w:t>
            </w:r>
            <w:r>
              <w:rPr>
                <w:sz w:val="20"/>
              </w:rPr>
              <w:t>14</w:t>
            </w:r>
          </w:p>
        </w:tc>
        <w:tc>
          <w:tcPr>
            <w:tcW w:w="2603" w:type="dxa"/>
          </w:tcPr>
          <w:p w14:paraId="2EEFB270" w14:textId="3566604A" w:rsidR="00280656" w:rsidRDefault="00280656" w:rsidP="00E37E57">
            <w:pPr>
              <w:pStyle w:val="FormFieldCaption"/>
              <w:rPr>
                <w:rStyle w:val="CommentReference"/>
                <w:rFonts w:cs="Times New Roman"/>
              </w:rPr>
            </w:pPr>
            <w:r>
              <w:rPr>
                <w:sz w:val="20"/>
              </w:rPr>
              <w:t>ncRNA Biology / Neurodevelopment</w:t>
            </w:r>
          </w:p>
        </w:tc>
      </w:tr>
      <w:tr w:rsidR="00B42C60" w14:paraId="0E8E7F2F" w14:textId="77777777" w:rsidTr="00280656">
        <w:trPr>
          <w:cantSplit/>
          <w:trHeight w:val="395"/>
        </w:trPr>
        <w:tc>
          <w:tcPr>
            <w:tcW w:w="5395" w:type="dxa"/>
          </w:tcPr>
          <w:p w14:paraId="531CF8B4" w14:textId="77777777" w:rsidR="00B42C60" w:rsidRDefault="00B42C60" w:rsidP="00E37E57">
            <w:pPr>
              <w:pStyle w:val="FormFieldCaption"/>
            </w:pPr>
          </w:p>
        </w:tc>
        <w:tc>
          <w:tcPr>
            <w:tcW w:w="1446" w:type="dxa"/>
          </w:tcPr>
          <w:p w14:paraId="197DE696" w14:textId="77777777" w:rsidR="00B42C60" w:rsidRDefault="00B42C60" w:rsidP="00E37E57">
            <w:pPr>
              <w:pStyle w:val="FormFieldCaption"/>
            </w:pPr>
          </w:p>
        </w:tc>
        <w:tc>
          <w:tcPr>
            <w:tcW w:w="1446" w:type="dxa"/>
          </w:tcPr>
          <w:p w14:paraId="0E03D021" w14:textId="77777777" w:rsidR="00B42C60" w:rsidRDefault="00B42C60" w:rsidP="00E37E57">
            <w:pPr>
              <w:pStyle w:val="FormFieldCaption"/>
            </w:pPr>
          </w:p>
        </w:tc>
        <w:tc>
          <w:tcPr>
            <w:tcW w:w="2603" w:type="dxa"/>
          </w:tcPr>
          <w:p w14:paraId="435427FA" w14:textId="77777777" w:rsidR="00B42C60" w:rsidRDefault="00B42C60" w:rsidP="00E37E57">
            <w:pPr>
              <w:pStyle w:val="FormFieldCaption"/>
              <w:rPr>
                <w:rStyle w:val="CommentReference"/>
                <w:rFonts w:cs="Times New Roman"/>
              </w:rPr>
            </w:pPr>
          </w:p>
        </w:tc>
      </w:tr>
    </w:tbl>
    <w:p w14:paraId="6FC868BE" w14:textId="2048C40D" w:rsidR="009E52CA" w:rsidRDefault="009E52CA">
      <w:pPr>
        <w:pStyle w:val="DataField11pt-Single"/>
      </w:pPr>
    </w:p>
    <w:p w14:paraId="4DF5C4C1" w14:textId="22C93E16" w:rsidR="00E67A05" w:rsidRPr="0049068A" w:rsidRDefault="00E67A05" w:rsidP="0049068A">
      <w:pPr>
        <w:rPr>
          <w:rStyle w:val="Strong"/>
        </w:rPr>
      </w:pPr>
      <w:r w:rsidRPr="0049068A">
        <w:rPr>
          <w:rStyle w:val="Strong"/>
        </w:rPr>
        <w:t>NOTE: The Biographical Sketch may not exceed f</w:t>
      </w:r>
      <w:r w:rsidR="000464BA">
        <w:rPr>
          <w:rStyle w:val="Strong"/>
        </w:rPr>
        <w:t>ive</w:t>
      </w:r>
      <w:r w:rsidRPr="0049068A">
        <w:rPr>
          <w:rStyle w:val="Strong"/>
        </w:rPr>
        <w:t xml:space="preserve"> pages. Follow the formats and instructions </w:t>
      </w:r>
      <w:r w:rsidR="00A14EF5">
        <w:rPr>
          <w:rStyle w:val="Strong"/>
        </w:rPr>
        <w:t>below</w:t>
      </w:r>
      <w:r w:rsidRPr="0049068A">
        <w:rPr>
          <w:rStyle w:val="Strong"/>
        </w:rPr>
        <w:t xml:space="preserve">. </w:t>
      </w:r>
    </w:p>
    <w:p w14:paraId="4DF5C4C2" w14:textId="77777777" w:rsidR="00E67A05" w:rsidRPr="00D825A1" w:rsidRDefault="00E67A05" w:rsidP="00D825A1">
      <w:pPr>
        <w:pStyle w:val="Heading1"/>
      </w:pPr>
      <w:r w:rsidRPr="00D825A1">
        <w:t>A.</w:t>
      </w:r>
      <w:r w:rsidRPr="00D825A1">
        <w:tab/>
        <w:t>Personal Statement</w:t>
      </w:r>
    </w:p>
    <w:p w14:paraId="3B9ACDDC" w14:textId="071AFC6D" w:rsidR="00F1772F" w:rsidRPr="00F1772F" w:rsidRDefault="00F1772F" w:rsidP="00F1772F">
      <w:pPr>
        <w:pStyle w:val="DataField11pt-Single"/>
        <w:tabs>
          <w:tab w:val="left" w:pos="540"/>
          <w:tab w:val="left" w:pos="10620"/>
        </w:tabs>
        <w:ind w:right="360"/>
        <w:rPr>
          <w:szCs w:val="24"/>
        </w:rPr>
      </w:pPr>
      <w:r>
        <w:rPr>
          <w:szCs w:val="24"/>
        </w:rPr>
        <w:tab/>
      </w:r>
      <w:r w:rsidRPr="00F1772F">
        <w:rPr>
          <w:szCs w:val="24"/>
        </w:rPr>
        <w:t xml:space="preserve">My research is focused on the identification and characterization of neural cell types, key cell fate decisions during development, and the </w:t>
      </w:r>
      <w:r w:rsidR="00462D3C">
        <w:rPr>
          <w:szCs w:val="24"/>
        </w:rPr>
        <w:t>effects of disease-associated mutations on</w:t>
      </w:r>
      <w:r w:rsidRPr="00F1772F">
        <w:rPr>
          <w:szCs w:val="24"/>
        </w:rPr>
        <w:t xml:space="preserve"> these choices. My lab uses bulk and single-cell RNA-Seq, as well as functional genomics tools, to characterize enriched populations of neuronal subtypes during development</w:t>
      </w:r>
      <w:r w:rsidR="008B505B">
        <w:rPr>
          <w:szCs w:val="24"/>
        </w:rPr>
        <w:t xml:space="preserve"> and identify functional relationships between transcriptional differences and physiological properties of distinct neuronal subtypes</w:t>
      </w:r>
      <w:r w:rsidRPr="00F1772F">
        <w:rPr>
          <w:szCs w:val="24"/>
        </w:rPr>
        <w:t xml:space="preserve">. Of particular interest is the expanding role for the tissue and cell-type-specific long non-protein coding RNA molecules (lncRNAs). I am interested in the mechanisms by which non-coding RNAs regulate target gene expression in the context of neuronal differentiation, their coordinate interactions with regulatory protein complexes, and functional roles in establishment and maintenance of specific neuronal identities. Recently, my focus has been on the identification and characterization of novel lncRNAs involved in key developmental processes within the brain, including lncRNAs induced in neuronal development, lncRNA-mediated specification of neuronal subtypes, and the roles </w:t>
      </w:r>
      <w:r w:rsidR="00271AF9">
        <w:rPr>
          <w:szCs w:val="24"/>
        </w:rPr>
        <w:t>for</w:t>
      </w:r>
      <w:r w:rsidRPr="00F1772F">
        <w:rPr>
          <w:szCs w:val="24"/>
        </w:rPr>
        <w:t xml:space="preserve"> lncRNAs in neurodegenerative</w:t>
      </w:r>
      <w:r w:rsidR="009F5ED4">
        <w:rPr>
          <w:szCs w:val="24"/>
        </w:rPr>
        <w:t xml:space="preserve"> and developmental</w:t>
      </w:r>
      <w:r w:rsidRPr="00F1772F">
        <w:rPr>
          <w:szCs w:val="24"/>
        </w:rPr>
        <w:t xml:space="preserve"> di</w:t>
      </w:r>
      <w:r w:rsidR="009F5ED4">
        <w:rPr>
          <w:szCs w:val="24"/>
        </w:rPr>
        <w:t>sorders</w:t>
      </w:r>
      <w:r w:rsidRPr="00F1772F">
        <w:rPr>
          <w:szCs w:val="24"/>
        </w:rPr>
        <w:t xml:space="preserve">. By leveraging the power of high-throughput RNA-Sequencing, functional genomics, and single-cell transcriptional analysis, we can dissect, with high resolution, the key cellular decisions that direct neural development and organization, and identify where and how these events are misregulated during </w:t>
      </w:r>
      <w:r w:rsidR="009F5ED4">
        <w:rPr>
          <w:szCs w:val="24"/>
        </w:rPr>
        <w:t>disease</w:t>
      </w:r>
      <w:r w:rsidRPr="00F1772F">
        <w:rPr>
          <w:szCs w:val="24"/>
        </w:rPr>
        <w:t>.</w:t>
      </w:r>
    </w:p>
    <w:p w14:paraId="4DF5C4C4" w14:textId="77777777" w:rsidR="00E67A05" w:rsidRPr="00D825A1" w:rsidRDefault="00E67A05" w:rsidP="00D825A1">
      <w:pPr>
        <w:pStyle w:val="Heading1"/>
      </w:pPr>
      <w:r w:rsidRPr="00D825A1">
        <w:t>B.</w:t>
      </w:r>
      <w:r w:rsidRPr="00D825A1">
        <w:tab/>
        <w:t>Positions and Honors</w:t>
      </w:r>
    </w:p>
    <w:p w14:paraId="6B8E47CD" w14:textId="77777777" w:rsidR="00F1772F" w:rsidRPr="00A31EC4" w:rsidRDefault="00F1772F" w:rsidP="00F1772F">
      <w:pPr>
        <w:pStyle w:val="DataField11pt-Single"/>
        <w:tabs>
          <w:tab w:val="left" w:pos="10620"/>
        </w:tabs>
        <w:ind w:right="360"/>
        <w:rPr>
          <w:b/>
          <w:u w:val="single"/>
        </w:rPr>
      </w:pPr>
      <w:r w:rsidRPr="00A31EC4">
        <w:rPr>
          <w:b/>
          <w:u w:val="single"/>
        </w:rPr>
        <w:t>Positions and Employment</w:t>
      </w:r>
    </w:p>
    <w:p w14:paraId="4C657AE8" w14:textId="28B7BB8D" w:rsidR="00F1772F" w:rsidRDefault="00F1772F" w:rsidP="00F1772F">
      <w:pPr>
        <w:widowControl w:val="0"/>
        <w:tabs>
          <w:tab w:val="left" w:pos="308"/>
          <w:tab w:val="left" w:pos="414"/>
          <w:tab w:val="left" w:pos="1890"/>
          <w:tab w:val="left" w:pos="4050"/>
          <w:tab w:val="left" w:pos="10620"/>
        </w:tabs>
        <w:adjustRightInd w:val="0"/>
        <w:ind w:right="360"/>
        <w:rPr>
          <w:rFonts w:cs="Arial"/>
          <w:szCs w:val="22"/>
        </w:rPr>
      </w:pPr>
      <w:r>
        <w:rPr>
          <w:rFonts w:cs="Arial"/>
          <w:szCs w:val="22"/>
        </w:rPr>
        <w:t>04/2008-10/2008</w:t>
      </w:r>
      <w:r>
        <w:rPr>
          <w:rFonts w:cs="Arial"/>
          <w:szCs w:val="22"/>
        </w:rPr>
        <w:tab/>
      </w:r>
      <w:r w:rsidRPr="007C341E">
        <w:rPr>
          <w:rFonts w:cs="Arial"/>
          <w:i/>
          <w:szCs w:val="22"/>
        </w:rPr>
        <w:t>Research Assistant</w:t>
      </w:r>
      <w:r>
        <w:rPr>
          <w:rFonts w:cs="Arial"/>
          <w:szCs w:val="22"/>
        </w:rPr>
        <w:tab/>
        <w:t>Rutgers University – Cell Biology and Neuroscience</w:t>
      </w:r>
    </w:p>
    <w:p w14:paraId="6C2904CC" w14:textId="1FCA09BA" w:rsidR="00F1772F" w:rsidRDefault="00F1772F" w:rsidP="00F1772F">
      <w:pPr>
        <w:widowControl w:val="0"/>
        <w:tabs>
          <w:tab w:val="left" w:pos="308"/>
          <w:tab w:val="left" w:pos="414"/>
          <w:tab w:val="left" w:pos="1890"/>
          <w:tab w:val="left" w:pos="4050"/>
        </w:tabs>
        <w:adjustRightInd w:val="0"/>
        <w:ind w:right="360"/>
        <w:rPr>
          <w:rFonts w:cs="Arial"/>
          <w:szCs w:val="22"/>
        </w:rPr>
      </w:pPr>
      <w:r>
        <w:rPr>
          <w:rFonts w:cs="Arial"/>
          <w:szCs w:val="22"/>
        </w:rPr>
        <w:t>10/2008-01/2014</w:t>
      </w:r>
      <w:r>
        <w:rPr>
          <w:rFonts w:cs="Arial"/>
          <w:szCs w:val="22"/>
        </w:rPr>
        <w:tab/>
      </w:r>
      <w:r w:rsidRPr="007C341E">
        <w:rPr>
          <w:rFonts w:cs="Arial"/>
          <w:i/>
          <w:szCs w:val="22"/>
        </w:rPr>
        <w:t>Postdoctoral Fellow</w:t>
      </w:r>
      <w:r>
        <w:rPr>
          <w:rFonts w:cs="Arial"/>
          <w:szCs w:val="22"/>
        </w:rPr>
        <w:tab/>
        <w:t>MIT – Computer Science and Artificial Intelligence Lab</w:t>
      </w:r>
    </w:p>
    <w:p w14:paraId="7CAA033C" w14:textId="54377248" w:rsidR="00F1772F" w:rsidRDefault="00F1772F" w:rsidP="00F1772F">
      <w:pPr>
        <w:widowControl w:val="0"/>
        <w:tabs>
          <w:tab w:val="left" w:pos="308"/>
          <w:tab w:val="left" w:pos="414"/>
          <w:tab w:val="left" w:pos="1890"/>
          <w:tab w:val="left" w:pos="4050"/>
        </w:tabs>
        <w:adjustRightInd w:val="0"/>
        <w:ind w:right="360"/>
        <w:rPr>
          <w:rFonts w:cs="Arial"/>
          <w:szCs w:val="22"/>
        </w:rPr>
      </w:pPr>
      <w:r>
        <w:rPr>
          <w:rFonts w:cs="Arial"/>
          <w:szCs w:val="22"/>
        </w:rPr>
        <w:t>04/2009-08/2014</w:t>
      </w:r>
      <w:r>
        <w:rPr>
          <w:rFonts w:cs="Arial"/>
          <w:szCs w:val="22"/>
        </w:rPr>
        <w:tab/>
      </w:r>
      <w:r w:rsidRPr="007C341E">
        <w:rPr>
          <w:rFonts w:cs="Arial"/>
          <w:i/>
          <w:szCs w:val="22"/>
        </w:rPr>
        <w:t>Postdoctoral Fellow</w:t>
      </w:r>
      <w:r>
        <w:rPr>
          <w:rFonts w:cs="Arial"/>
          <w:szCs w:val="22"/>
        </w:rPr>
        <w:tab/>
        <w:t>Harvard University – Stem Cells and Regenerative Biology</w:t>
      </w:r>
    </w:p>
    <w:p w14:paraId="214B2230" w14:textId="6E28091F" w:rsidR="00F1772F" w:rsidRDefault="00F1772F" w:rsidP="00F1772F">
      <w:pPr>
        <w:widowControl w:val="0"/>
        <w:tabs>
          <w:tab w:val="left" w:pos="308"/>
          <w:tab w:val="left" w:pos="414"/>
          <w:tab w:val="left" w:pos="1890"/>
          <w:tab w:val="left" w:pos="4050"/>
        </w:tabs>
        <w:adjustRightInd w:val="0"/>
        <w:ind w:right="360"/>
        <w:rPr>
          <w:rFonts w:cs="Arial"/>
          <w:szCs w:val="22"/>
        </w:rPr>
      </w:pPr>
      <w:r>
        <w:rPr>
          <w:rFonts w:cs="Arial"/>
          <w:szCs w:val="22"/>
        </w:rPr>
        <w:t>09/2014-Current</w:t>
      </w:r>
      <w:r>
        <w:rPr>
          <w:rFonts w:cs="Arial"/>
          <w:szCs w:val="22"/>
        </w:rPr>
        <w:tab/>
      </w:r>
      <w:r w:rsidRPr="007C341E">
        <w:rPr>
          <w:rFonts w:cs="Arial"/>
          <w:i/>
          <w:szCs w:val="22"/>
        </w:rPr>
        <w:t>Assistant Professor</w:t>
      </w:r>
      <w:r>
        <w:rPr>
          <w:rFonts w:cs="Arial"/>
          <w:szCs w:val="22"/>
        </w:rPr>
        <w:tab/>
        <w:t>Johns Hopkins School of Medicine – Institute of Genetic Medicine</w:t>
      </w:r>
    </w:p>
    <w:p w14:paraId="5A6B5BFC" w14:textId="77777777" w:rsidR="00F1772F" w:rsidRDefault="00F1772F" w:rsidP="00F1772F">
      <w:pPr>
        <w:widowControl w:val="0"/>
        <w:tabs>
          <w:tab w:val="left" w:pos="308"/>
          <w:tab w:val="left" w:pos="414"/>
          <w:tab w:val="left" w:pos="7560"/>
          <w:tab w:val="left" w:pos="10620"/>
        </w:tabs>
        <w:adjustRightInd w:val="0"/>
        <w:ind w:right="360"/>
        <w:rPr>
          <w:rFonts w:cs="Arial"/>
          <w:szCs w:val="22"/>
        </w:rPr>
      </w:pPr>
    </w:p>
    <w:p w14:paraId="63B4B680" w14:textId="77777777" w:rsidR="00F1772F" w:rsidRPr="00A31EC4" w:rsidRDefault="00F1772F" w:rsidP="00F1772F">
      <w:pPr>
        <w:widowControl w:val="0"/>
        <w:tabs>
          <w:tab w:val="left" w:pos="308"/>
          <w:tab w:val="left" w:pos="414"/>
          <w:tab w:val="left" w:pos="7560"/>
          <w:tab w:val="left" w:pos="10620"/>
        </w:tabs>
        <w:adjustRightInd w:val="0"/>
        <w:ind w:right="360"/>
        <w:rPr>
          <w:rFonts w:cs="Arial"/>
          <w:b/>
          <w:szCs w:val="22"/>
          <w:u w:val="single"/>
        </w:rPr>
      </w:pPr>
      <w:r w:rsidRPr="00A31EC4">
        <w:rPr>
          <w:rFonts w:cs="Arial"/>
          <w:b/>
          <w:szCs w:val="22"/>
          <w:u w:val="single"/>
        </w:rPr>
        <w:t>Professional Memberships</w:t>
      </w:r>
    </w:p>
    <w:p w14:paraId="26CA322E" w14:textId="6D0A2426" w:rsidR="00F1772F" w:rsidRDefault="00F1772F" w:rsidP="00F1772F">
      <w:pPr>
        <w:pStyle w:val="ListParagraph"/>
        <w:widowControl w:val="0"/>
        <w:numPr>
          <w:ilvl w:val="0"/>
          <w:numId w:val="22"/>
        </w:numPr>
        <w:tabs>
          <w:tab w:val="left" w:pos="308"/>
          <w:tab w:val="left" w:pos="414"/>
          <w:tab w:val="left" w:pos="7560"/>
          <w:tab w:val="left" w:pos="10620"/>
        </w:tabs>
        <w:adjustRightInd w:val="0"/>
        <w:ind w:left="0" w:right="360" w:firstLine="0"/>
        <w:contextualSpacing/>
        <w:rPr>
          <w:rFonts w:cs="Arial"/>
          <w:szCs w:val="22"/>
        </w:rPr>
      </w:pPr>
      <w:r>
        <w:rPr>
          <w:rFonts w:cs="Arial"/>
          <w:szCs w:val="22"/>
        </w:rPr>
        <w:t>Society for Neuroscience (2007-Present)</w:t>
      </w:r>
    </w:p>
    <w:p w14:paraId="7AE3FA3D" w14:textId="1703F744" w:rsidR="004A09F9" w:rsidRPr="00A31EC4" w:rsidRDefault="004A09F9" w:rsidP="00F1772F">
      <w:pPr>
        <w:pStyle w:val="ListParagraph"/>
        <w:widowControl w:val="0"/>
        <w:numPr>
          <w:ilvl w:val="0"/>
          <w:numId w:val="22"/>
        </w:numPr>
        <w:tabs>
          <w:tab w:val="left" w:pos="308"/>
          <w:tab w:val="left" w:pos="414"/>
          <w:tab w:val="left" w:pos="7560"/>
          <w:tab w:val="left" w:pos="10620"/>
        </w:tabs>
        <w:adjustRightInd w:val="0"/>
        <w:ind w:left="0" w:right="360" w:firstLine="0"/>
        <w:contextualSpacing/>
        <w:rPr>
          <w:rFonts w:cs="Arial"/>
          <w:szCs w:val="22"/>
        </w:rPr>
      </w:pPr>
      <w:r>
        <w:rPr>
          <w:rFonts w:cs="Arial"/>
          <w:szCs w:val="22"/>
        </w:rPr>
        <w:lastRenderedPageBreak/>
        <w:t>American Society for Human Genetics (2015-Present)</w:t>
      </w:r>
    </w:p>
    <w:p w14:paraId="35F3D4D8" w14:textId="77777777" w:rsidR="00F1772F" w:rsidRDefault="00F1772F" w:rsidP="00F1772F">
      <w:pPr>
        <w:widowControl w:val="0"/>
        <w:tabs>
          <w:tab w:val="left" w:pos="308"/>
          <w:tab w:val="left" w:pos="414"/>
          <w:tab w:val="left" w:pos="7560"/>
          <w:tab w:val="left" w:pos="10620"/>
        </w:tabs>
        <w:adjustRightInd w:val="0"/>
        <w:ind w:right="360"/>
        <w:rPr>
          <w:rFonts w:cs="Arial"/>
          <w:szCs w:val="22"/>
        </w:rPr>
      </w:pPr>
    </w:p>
    <w:p w14:paraId="66393CE8" w14:textId="77777777" w:rsidR="00F1772F" w:rsidRPr="00A31EC4" w:rsidRDefault="00F1772F" w:rsidP="00F1772F">
      <w:pPr>
        <w:widowControl w:val="0"/>
        <w:tabs>
          <w:tab w:val="left" w:pos="308"/>
          <w:tab w:val="left" w:pos="414"/>
          <w:tab w:val="left" w:pos="7560"/>
          <w:tab w:val="left" w:pos="10620"/>
        </w:tabs>
        <w:adjustRightInd w:val="0"/>
        <w:ind w:right="360"/>
        <w:rPr>
          <w:rFonts w:cs="Arial"/>
          <w:b/>
          <w:szCs w:val="22"/>
          <w:u w:val="single"/>
        </w:rPr>
      </w:pPr>
      <w:r w:rsidRPr="00A31EC4">
        <w:rPr>
          <w:rFonts w:cs="Arial"/>
          <w:b/>
          <w:szCs w:val="22"/>
          <w:u w:val="single"/>
        </w:rPr>
        <w:t>Honors</w:t>
      </w:r>
    </w:p>
    <w:p w14:paraId="1C63130E" w14:textId="77777777" w:rsidR="00F1772F" w:rsidRDefault="00F1772F" w:rsidP="00F1772F">
      <w:pPr>
        <w:widowControl w:val="0"/>
        <w:numPr>
          <w:ilvl w:val="0"/>
          <w:numId w:val="21"/>
        </w:numPr>
        <w:tabs>
          <w:tab w:val="left" w:pos="308"/>
          <w:tab w:val="left" w:pos="414"/>
          <w:tab w:val="left" w:pos="7560"/>
          <w:tab w:val="left" w:pos="10620"/>
        </w:tabs>
        <w:adjustRightInd w:val="0"/>
        <w:ind w:left="0" w:right="360" w:firstLine="0"/>
        <w:rPr>
          <w:rFonts w:cs="Arial"/>
          <w:szCs w:val="22"/>
        </w:rPr>
      </w:pPr>
      <w:r w:rsidRPr="00160C08">
        <w:rPr>
          <w:rFonts w:cs="Arial"/>
          <w:szCs w:val="22"/>
        </w:rPr>
        <w:t>NSF Postdoctoral Research Fellowship in Biology: Biological Informatics program (2009)</w:t>
      </w:r>
    </w:p>
    <w:p w14:paraId="4150024F" w14:textId="77777777" w:rsidR="00F1772F" w:rsidRDefault="00F1772F" w:rsidP="00F1772F">
      <w:pPr>
        <w:widowControl w:val="0"/>
        <w:numPr>
          <w:ilvl w:val="0"/>
          <w:numId w:val="21"/>
        </w:numPr>
        <w:tabs>
          <w:tab w:val="left" w:pos="308"/>
          <w:tab w:val="left" w:pos="414"/>
          <w:tab w:val="left" w:pos="7560"/>
          <w:tab w:val="left" w:pos="10620"/>
        </w:tabs>
        <w:adjustRightInd w:val="0"/>
        <w:ind w:left="0" w:right="360" w:firstLine="0"/>
        <w:rPr>
          <w:rFonts w:cs="Arial"/>
          <w:szCs w:val="22"/>
        </w:rPr>
      </w:pPr>
      <w:r w:rsidRPr="00F1772F">
        <w:rPr>
          <w:rFonts w:cs="Arial"/>
          <w:szCs w:val="22"/>
        </w:rPr>
        <w:t>NIH Ruth L. Kirschstein NRSA for Individual Postdoctoral Fellows (2009) (awarded but declined)</w:t>
      </w:r>
    </w:p>
    <w:p w14:paraId="6EB43C45" w14:textId="08F660F9" w:rsidR="00F1772F" w:rsidRDefault="00E67A05" w:rsidP="00BF73A3">
      <w:pPr>
        <w:pStyle w:val="Heading1"/>
      </w:pPr>
      <w:r>
        <w:t>C.</w:t>
      </w:r>
      <w:r>
        <w:tab/>
      </w:r>
      <w:r w:rsidR="00C00F42">
        <w:t>Contribution to Science</w:t>
      </w:r>
    </w:p>
    <w:p w14:paraId="1B42828E" w14:textId="43F5EEB9" w:rsidR="00D00C0B" w:rsidRDefault="00F1772F" w:rsidP="00D00C0B">
      <w:pPr>
        <w:pStyle w:val="ListParagraph"/>
        <w:numPr>
          <w:ilvl w:val="0"/>
          <w:numId w:val="23"/>
        </w:numPr>
        <w:ind w:left="360"/>
      </w:pPr>
      <w:r>
        <w:t xml:space="preserve">Throughout my career, I have been interested in the </w:t>
      </w:r>
      <w:r w:rsidR="004D4AC4">
        <w:t xml:space="preserve">various </w:t>
      </w:r>
      <w:r>
        <w:t>mechanisms of RNA</w:t>
      </w:r>
      <w:r w:rsidR="004D4AC4">
        <w:t>-mediated biological activity and regulation</w:t>
      </w:r>
      <w:r>
        <w:t xml:space="preserve">, and the </w:t>
      </w:r>
      <w:r w:rsidR="004D4AC4">
        <w:t>potential</w:t>
      </w:r>
      <w:r>
        <w:t xml:space="preserve"> roles for this </w:t>
      </w:r>
      <w:r w:rsidR="004D4AC4">
        <w:t>class of macro</w:t>
      </w:r>
      <w:r>
        <w:t xml:space="preserve">molecule in the acquisition and maintenance of </w:t>
      </w:r>
      <w:r w:rsidR="004D4AC4">
        <w:t xml:space="preserve">specific </w:t>
      </w:r>
      <w:r>
        <w:t>cellular identities. My early publications centered on both technology development and application</w:t>
      </w:r>
      <w:r w:rsidR="0071060C">
        <w:t>s</w:t>
      </w:r>
      <w:r>
        <w:t xml:space="preserve"> to address the question of how miRNAs direct the differentiation of multipotent stem cells towards a particular lineage. </w:t>
      </w:r>
      <w:r w:rsidR="004D4AC4">
        <w:t xml:space="preserve">I was responsible for the design and development of one of the first multi-species microRNA microarray platforms, and utilized this technological advance to interrogate the differential regulation and functional contributions of microRNAs across a wide variety of stem cell differentiation contexts. By integrating microRNA </w:t>
      </w:r>
      <w:r w:rsidR="00C10718">
        <w:t>and mRNA expression patterns, I was</w:t>
      </w:r>
      <w:r w:rsidR="004D4AC4">
        <w:t xml:space="preserve"> able to characterize</w:t>
      </w:r>
      <w:r w:rsidR="00C10718">
        <w:t xml:space="preserve"> the identity and differentiation potential of several neural stem cell clones with the ultimate goal of using microRNAs to direct differentiation towards cell fates with therapeutic transplantation potential in traumatic spinal cord injury.</w:t>
      </w:r>
    </w:p>
    <w:p w14:paraId="1AD78652" w14:textId="77777777" w:rsidR="00D11D00" w:rsidRDefault="00C10718" w:rsidP="00D11D00">
      <w:pPr>
        <w:pStyle w:val="ListParagraph"/>
        <w:numPr>
          <w:ilvl w:val="1"/>
          <w:numId w:val="23"/>
        </w:numPr>
      </w:pPr>
      <w:r w:rsidRPr="008C7337">
        <w:rPr>
          <w:b/>
        </w:rPr>
        <w:t>Goff, L.A.,</w:t>
      </w:r>
      <w:r>
        <w:t xml:space="preserve"> Yang, M., Bowers, J., Getts, R.C., Padgett, R.W., and Hart, R.P. (2005). Rational probe optimization and enhanced detection strategy for microRNAs using microarrays. RNA Biol 2, 93–100.</w:t>
      </w:r>
    </w:p>
    <w:p w14:paraId="76433CBD" w14:textId="3D81E33E" w:rsidR="00D00C0B" w:rsidRDefault="004D4AC4" w:rsidP="00D11D00">
      <w:pPr>
        <w:pStyle w:val="ListParagraph"/>
        <w:numPr>
          <w:ilvl w:val="1"/>
          <w:numId w:val="23"/>
        </w:numPr>
      </w:pPr>
      <w:r w:rsidRPr="008C7337">
        <w:rPr>
          <w:b/>
        </w:rPr>
        <w:t>Goff, L.A.,</w:t>
      </w:r>
      <w:r>
        <w:t xml:space="preserve"> Boucher, S., Ricupero, C.L., Fenstermacher, S., Swerdel, M., Chase, L.G., Adams, C.C., Chesnut, J., Lakshmipathy, U., and Hart, R.P. (2008). Differentiating human multipotent mesenchymal stromal cells regulate microRNAs: prediction of microRNA regulation by PDGF during osteogenesis. Exp. Hematol. 36, 1354–1369.</w:t>
      </w:r>
      <w:r w:rsidR="00D11D00">
        <w:t xml:space="preserve"> </w:t>
      </w:r>
      <w:r w:rsidR="00D11D00" w:rsidRPr="00D11D00">
        <w:t>PMCID: PMC2782644</w:t>
      </w:r>
    </w:p>
    <w:p w14:paraId="25042B49" w14:textId="4861E6B5" w:rsidR="004D4AC4" w:rsidRDefault="004D4AC4" w:rsidP="00D00C0B">
      <w:pPr>
        <w:pStyle w:val="ListParagraph"/>
        <w:numPr>
          <w:ilvl w:val="1"/>
          <w:numId w:val="23"/>
        </w:numPr>
      </w:pPr>
      <w:r w:rsidRPr="008C7337">
        <w:rPr>
          <w:b/>
        </w:rPr>
        <w:t>Goff, L.A.</w:t>
      </w:r>
      <w:r w:rsidR="008C7337" w:rsidRPr="008C7337">
        <w:rPr>
          <w:b/>
        </w:rPr>
        <w:t>*</w:t>
      </w:r>
      <w:r w:rsidRPr="008C7337">
        <w:rPr>
          <w:b/>
        </w:rPr>
        <w:t>,</w:t>
      </w:r>
      <w:r>
        <w:t xml:space="preserve"> Davila, J.</w:t>
      </w:r>
      <w:r w:rsidR="008C7337">
        <w:t>*</w:t>
      </w:r>
      <w:r>
        <w:t>, Swerdel, M.R., Moore, J.C., Cohen, R.I., Wu, H., Sun, Y.E., and Hart, R.P. (2009). Ago2 immunoprecipitation identifies predicted microRNAs in human embryonic stem cells and neural precursors. PLoS ONE 4, e7192.</w:t>
      </w:r>
      <w:r w:rsidR="008C7337">
        <w:t xml:space="preserve"> </w:t>
      </w:r>
      <w:r w:rsidR="008C7337" w:rsidRPr="008C7337">
        <w:rPr>
          <w:i/>
        </w:rPr>
        <w:t>*Authors contributed equally.</w:t>
      </w:r>
      <w:r w:rsidR="00D00C0B" w:rsidRPr="00D00C0B">
        <w:t xml:space="preserve"> </w:t>
      </w:r>
      <w:r w:rsidR="00D11D00">
        <w:t xml:space="preserve">PMCID: </w:t>
      </w:r>
      <w:r w:rsidR="00D11D00" w:rsidRPr="00D11D00">
        <w:t>PMC2745660</w:t>
      </w:r>
    </w:p>
    <w:p w14:paraId="1F1A60E6" w14:textId="2B866D62" w:rsidR="007842B3" w:rsidRDefault="00D00C0B" w:rsidP="007842B3">
      <w:pPr>
        <w:pStyle w:val="ListParagraph"/>
        <w:numPr>
          <w:ilvl w:val="1"/>
          <w:numId w:val="23"/>
        </w:numPr>
      </w:pPr>
      <w:r w:rsidRPr="00D00C0B">
        <w:t>Davila, J.L.</w:t>
      </w:r>
      <w:r w:rsidR="008C7337">
        <w:t>*</w:t>
      </w:r>
      <w:r w:rsidRPr="00D00C0B">
        <w:t xml:space="preserve">, </w:t>
      </w:r>
      <w:r w:rsidRPr="008C7337">
        <w:rPr>
          <w:b/>
        </w:rPr>
        <w:t>Goff, L.A.</w:t>
      </w:r>
      <w:r w:rsidR="008C7337" w:rsidRPr="008C7337">
        <w:rPr>
          <w:b/>
        </w:rPr>
        <w:t>*</w:t>
      </w:r>
      <w:r w:rsidRPr="00D00C0B">
        <w:t>, Ricupero, C.L.</w:t>
      </w:r>
      <w:r w:rsidR="008C7337">
        <w:t>*</w:t>
      </w:r>
      <w:r w:rsidRPr="00D00C0B">
        <w:t>, Camarillo, C., Oni, E.N., Swerdel, M.R., Toro-Ramos, A.J., Li, J., and Hart, R.P. (2014). A Positive Feedback Mechanism That Regulates Expression of miR-9 during Neurogenesis. PLoS ONE 9, e94348.</w:t>
      </w:r>
      <w:r w:rsidR="00D11D00">
        <w:t xml:space="preserve"> </w:t>
      </w:r>
      <w:r w:rsidR="008C7337" w:rsidRPr="008C7337">
        <w:rPr>
          <w:i/>
        </w:rPr>
        <w:t>*Authors contributed equally.</w:t>
      </w:r>
      <w:r w:rsidR="008C7337">
        <w:t xml:space="preserve"> </w:t>
      </w:r>
      <w:r w:rsidR="00D11D00">
        <w:t xml:space="preserve">PMCID: </w:t>
      </w:r>
      <w:r w:rsidR="00D11D00" w:rsidRPr="00D11D00">
        <w:t>PMC3979806</w:t>
      </w:r>
    </w:p>
    <w:p w14:paraId="02CB8531" w14:textId="77777777" w:rsidR="007842B3" w:rsidRDefault="007842B3" w:rsidP="007842B3">
      <w:pPr>
        <w:pStyle w:val="ListParagraph"/>
        <w:ind w:left="1440"/>
      </w:pPr>
    </w:p>
    <w:p w14:paraId="0321C44D" w14:textId="4207990C" w:rsidR="007842B3" w:rsidRPr="007842B3" w:rsidRDefault="007842B3" w:rsidP="007842B3">
      <w:pPr>
        <w:pStyle w:val="ListParagraph"/>
        <w:numPr>
          <w:ilvl w:val="0"/>
          <w:numId w:val="23"/>
        </w:numPr>
      </w:pPr>
      <w:r w:rsidRPr="007842B3">
        <w:t xml:space="preserve">Long </w:t>
      </w:r>
      <w:r>
        <w:t>non-coding RNAs (l</w:t>
      </w:r>
      <w:r w:rsidRPr="007842B3">
        <w:t>ncRNAs) are a recently described class of regulatory RNA genes with a high degree of cell-type specificity that are likely to contribute to specific cellular identities</w:t>
      </w:r>
      <w:r>
        <w:t xml:space="preserve"> and functions.</w:t>
      </w:r>
      <w:r w:rsidR="00446958">
        <w:t xml:space="preserve"> </w:t>
      </w:r>
      <w:r>
        <w:t xml:space="preserve"> L</w:t>
      </w:r>
      <w:r w:rsidRPr="007842B3">
        <w:t xml:space="preserve">ncRNAs have demonstrated roles in differentiation, cell fate specification, apoptosis, body axis patterning, and a growing list of disorders including cancer. </w:t>
      </w:r>
      <w:r w:rsidR="008C7337">
        <w:t>As part of my postdoctoral work</w:t>
      </w:r>
      <w:r w:rsidRPr="007842B3">
        <w:t xml:space="preserve"> </w:t>
      </w:r>
      <w:r w:rsidR="008C7337">
        <w:t xml:space="preserve">I was responsible for the </w:t>
      </w:r>
      <w:r w:rsidRPr="007842B3">
        <w:t>identifi</w:t>
      </w:r>
      <w:r w:rsidR="008C7337">
        <w:t>cation of thousands of human and mouse l</w:t>
      </w:r>
      <w:r w:rsidRPr="007842B3">
        <w:t xml:space="preserve">ncRNAs that are induced during various cellular </w:t>
      </w:r>
      <w:r w:rsidR="008C7337">
        <w:t>differenti</w:t>
      </w:r>
      <w:r w:rsidRPr="007842B3">
        <w:t>ation programs or restricted to subpopulations of cells</w:t>
      </w:r>
      <w:r w:rsidR="008C7337">
        <w:t>. As part of these studies I was able to</w:t>
      </w:r>
      <w:r w:rsidRPr="007842B3">
        <w:t xml:space="preserve"> demonstrate the physiological relevance of these genes as a class</w:t>
      </w:r>
      <w:r w:rsidR="008C7337">
        <w:t>, and identify at least one novel mechanism by which lncRNAs contribute to nuclear organization</w:t>
      </w:r>
      <w:r w:rsidRPr="007842B3">
        <w:t>. By establishing a cohort of neuro</w:t>
      </w:r>
      <w:r w:rsidR="008C7337">
        <w:t>nal lncRNA gene knockout mice, my research has</w:t>
      </w:r>
      <w:r w:rsidRPr="007842B3">
        <w:t xml:space="preserve"> determined that indeed several </w:t>
      </w:r>
      <w:r w:rsidR="008C7337">
        <w:t xml:space="preserve">lncRNA loci </w:t>
      </w:r>
      <w:r w:rsidRPr="007842B3">
        <w:t>are required for life, and many others have expression and developmental</w:t>
      </w:r>
      <w:r>
        <w:t xml:space="preserve"> phenotypes within the brain. </w:t>
      </w:r>
    </w:p>
    <w:p w14:paraId="6BDCF7AC" w14:textId="41746FCD" w:rsidR="00D00C0B" w:rsidRDefault="007842B3" w:rsidP="007842B3">
      <w:pPr>
        <w:pStyle w:val="ListParagraph"/>
        <w:numPr>
          <w:ilvl w:val="0"/>
          <w:numId w:val="26"/>
        </w:numPr>
      </w:pPr>
      <w:r w:rsidRPr="00D00C0B">
        <w:t xml:space="preserve"> </w:t>
      </w:r>
      <w:r w:rsidR="00D00C0B" w:rsidRPr="00D00C0B">
        <w:t xml:space="preserve">Cabili, M.N., Trapnell, C., </w:t>
      </w:r>
      <w:r w:rsidR="00D00C0B" w:rsidRPr="008C7337">
        <w:rPr>
          <w:b/>
        </w:rPr>
        <w:t xml:space="preserve">Goff, L., </w:t>
      </w:r>
      <w:r w:rsidR="00D00C0B" w:rsidRPr="00D00C0B">
        <w:t>Koziol, M., Tazon-Vega, B., Regev, A., and Rinn, J.L. (2011). Integrative annotation of human large intergenic noncoding RNAs reveals global properties and specific subclasses. Genes &amp; Development.</w:t>
      </w:r>
      <w:r w:rsidR="00D11D00">
        <w:t xml:space="preserve"> </w:t>
      </w:r>
      <w:r w:rsidR="00D11D00" w:rsidRPr="00D11D00">
        <w:t>PMCID: PMC3185964</w:t>
      </w:r>
    </w:p>
    <w:p w14:paraId="4F716F77" w14:textId="5D3106C5" w:rsidR="00D00C0B" w:rsidRDefault="00D00C0B" w:rsidP="007842B3">
      <w:pPr>
        <w:pStyle w:val="ListParagraph"/>
        <w:numPr>
          <w:ilvl w:val="0"/>
          <w:numId w:val="26"/>
        </w:numPr>
      </w:pPr>
      <w:r w:rsidRPr="00D00C0B">
        <w:t>Sun, L.</w:t>
      </w:r>
      <w:r>
        <w:t>*</w:t>
      </w:r>
      <w:r w:rsidRPr="00D00C0B">
        <w:t xml:space="preserve">, </w:t>
      </w:r>
      <w:r w:rsidRPr="008C7337">
        <w:rPr>
          <w:b/>
        </w:rPr>
        <w:t>Goff, L.A.*,</w:t>
      </w:r>
      <w:r w:rsidRPr="00D00C0B">
        <w:t xml:space="preserve"> Trapnell, C.</w:t>
      </w:r>
      <w:r>
        <w:t>*</w:t>
      </w:r>
      <w:r w:rsidRPr="00D00C0B">
        <w:t xml:space="preserve">, Alexander, R., Lo, K.A., Hacisuleyman, E., Sauvageau, M., Tazon-Vega, B., Kelley, D.R., Hendrickson, D.G., et al. (2013). Long noncoding RNAs regulate adipogenesis. Proceedings of the National Academy of Sciences 110, 3387–3392. </w:t>
      </w:r>
      <w:r w:rsidRPr="008C7337">
        <w:rPr>
          <w:i/>
        </w:rPr>
        <w:t>*Authors contributed equally</w:t>
      </w:r>
      <w:r>
        <w:t>.</w:t>
      </w:r>
      <w:r w:rsidR="00D11D00">
        <w:t xml:space="preserve"> </w:t>
      </w:r>
      <w:r w:rsidR="00D54BF6" w:rsidRPr="00D54BF6">
        <w:t>PMCID: PMC3587215</w:t>
      </w:r>
    </w:p>
    <w:p w14:paraId="78C7BC99" w14:textId="4EB89955" w:rsidR="00D00C0B" w:rsidRDefault="00D00C0B" w:rsidP="007842B3">
      <w:pPr>
        <w:pStyle w:val="ListParagraph"/>
        <w:numPr>
          <w:ilvl w:val="0"/>
          <w:numId w:val="26"/>
        </w:numPr>
      </w:pPr>
      <w:r w:rsidRPr="00D00C0B">
        <w:t>Sauvageau, M.</w:t>
      </w:r>
      <w:r>
        <w:t>*</w:t>
      </w:r>
      <w:r w:rsidRPr="00D00C0B">
        <w:t xml:space="preserve">, </w:t>
      </w:r>
      <w:r w:rsidRPr="008C7337">
        <w:rPr>
          <w:b/>
        </w:rPr>
        <w:t>Goff, L.A.*,</w:t>
      </w:r>
      <w:r w:rsidRPr="00D00C0B">
        <w:t xml:space="preserve"> Lodato, S.</w:t>
      </w:r>
      <w:r>
        <w:t>*</w:t>
      </w:r>
      <w:r w:rsidRPr="00D00C0B">
        <w:t>, Bonev, B., Groff, A.F., Gerhardinger, C., Sanchez-Gomez, D.B., Hacisuleyman, E., Li, E., Spence, M., et al. (2013). Multiple knockout mouse models reveal lincRNAs are required for life and brain development. Elife 2, e01749.</w:t>
      </w:r>
      <w:r>
        <w:t xml:space="preserve"> </w:t>
      </w:r>
      <w:r w:rsidRPr="008C7337">
        <w:rPr>
          <w:i/>
        </w:rPr>
        <w:t>*Authors contributed equally.</w:t>
      </w:r>
      <w:r w:rsidR="00D54BF6" w:rsidRPr="008C7337">
        <w:rPr>
          <w:i/>
        </w:rPr>
        <w:t xml:space="preserve"> </w:t>
      </w:r>
      <w:r w:rsidR="00D54BF6" w:rsidRPr="00D54BF6">
        <w:t>PMCID: PMC3874104</w:t>
      </w:r>
    </w:p>
    <w:p w14:paraId="521FD73C" w14:textId="2A90F389" w:rsidR="00E81E2D" w:rsidRDefault="00E81E2D" w:rsidP="007842B3">
      <w:pPr>
        <w:pStyle w:val="ListParagraph"/>
        <w:numPr>
          <w:ilvl w:val="0"/>
          <w:numId w:val="26"/>
        </w:numPr>
      </w:pPr>
      <w:r w:rsidRPr="004A09F9">
        <w:rPr>
          <w:b/>
        </w:rPr>
        <w:lastRenderedPageBreak/>
        <w:t>Goff, L.</w:t>
      </w:r>
      <w:r>
        <w:rPr>
          <w:b/>
        </w:rPr>
        <w:t>A.*</w:t>
      </w:r>
      <w:r w:rsidRPr="004A09F9">
        <w:rPr>
          <w:b/>
        </w:rPr>
        <w:t>,</w:t>
      </w:r>
      <w:r w:rsidRPr="006433CD">
        <w:t xml:space="preserve"> </w:t>
      </w:r>
      <w:r>
        <w:t xml:space="preserve">Groff, A.F.*, Sauvageau, M.*, Trayes-Gibson, Z., Sanchez-Gomez, D.b., Morse, M., Martin, R.D., Elcavage, L.E., Liapis, S.C., Gonzalez-Celeiro, M., Plana, Ol., Li, E., Gerhardinger, C., Tomassay, G.S., Arlotta, P., Rinn, J.L., (2015) Spatiotemporal expression and transcriptional perturbations by long noncoding RNAs in the mouse brain. PNAS 112(22): 6855-6862. * </w:t>
      </w:r>
      <w:r w:rsidRPr="004A09F9">
        <w:rPr>
          <w:i/>
        </w:rPr>
        <w:t>Authors Contributed Equally</w:t>
      </w:r>
      <w:r>
        <w:rPr>
          <w:i/>
        </w:rPr>
        <w:t xml:space="preserve">. </w:t>
      </w:r>
      <w:r>
        <w:t>PMCID: PMC4460505</w:t>
      </w:r>
    </w:p>
    <w:p w14:paraId="6EDEADA1" w14:textId="77777777" w:rsidR="004F075A" w:rsidRDefault="004F075A" w:rsidP="004F075A">
      <w:pPr>
        <w:pStyle w:val="ListParagraph"/>
        <w:ind w:left="1440"/>
      </w:pPr>
    </w:p>
    <w:p w14:paraId="233E33A2" w14:textId="5BB1AAB3" w:rsidR="00D00C0B" w:rsidRDefault="0071060C" w:rsidP="00D00C0B">
      <w:pPr>
        <w:pStyle w:val="ListParagraph"/>
        <w:numPr>
          <w:ilvl w:val="0"/>
          <w:numId w:val="23"/>
        </w:numPr>
      </w:pPr>
      <w:r>
        <w:t>As high-throughput sequencing technologies have evolved, so has the need for robust software and computational tools to enable exploration and analysis of these large datasets. As a result, I have been involved in the d</w:t>
      </w:r>
      <w:r w:rsidR="00D00C0B">
        <w:t xml:space="preserve">evelopment of </w:t>
      </w:r>
      <w:r>
        <w:t xml:space="preserve">several key </w:t>
      </w:r>
      <w:r w:rsidR="00D00C0B">
        <w:t>computational/informatic tools to facilitate increased adoption of</w:t>
      </w:r>
      <w:r w:rsidR="00D63067">
        <w:t>,</w:t>
      </w:r>
      <w:r w:rsidR="00D00C0B">
        <w:t xml:space="preserve"> and access to RNA-Seq data.</w:t>
      </w:r>
      <w:r w:rsidR="00EE4C58">
        <w:t xml:space="preserve"> As part of this process, I am responsible for the development of several training programs aimed at encouraging molecular biologist to learn to analyze these complex data themselves.</w:t>
      </w:r>
      <w:r>
        <w:t xml:space="preserve"> I am the principal author of the </w:t>
      </w:r>
      <w:r w:rsidR="001D3700">
        <w:t xml:space="preserve">popular </w:t>
      </w:r>
      <w:r>
        <w:t>cummeRbund</w:t>
      </w:r>
      <w:r w:rsidR="00D63067">
        <w:t xml:space="preserve"> utility; an R/bioconductor package that facilitates exploration and visualization of differential RNA-S</w:t>
      </w:r>
      <w:r w:rsidR="00EE4C58">
        <w:t xml:space="preserve">eq data. </w:t>
      </w:r>
      <w:r w:rsidR="00D63067">
        <w:t xml:space="preserve">In addition, I have contributed to the development </w:t>
      </w:r>
      <w:r w:rsidR="00ED213A">
        <w:t>of several additional tools as part of the widely-used Tuxedo suite of utilities for bulk and single-cell RNA sequencing analysis</w:t>
      </w:r>
      <w:r w:rsidR="00EE4C58">
        <w:t xml:space="preserve">. </w:t>
      </w:r>
    </w:p>
    <w:p w14:paraId="7248995C" w14:textId="2D5C5300" w:rsidR="00717E9C" w:rsidRDefault="00717E9C" w:rsidP="00717E9C">
      <w:pPr>
        <w:pStyle w:val="ListParagraph"/>
        <w:numPr>
          <w:ilvl w:val="1"/>
          <w:numId w:val="23"/>
        </w:numPr>
      </w:pPr>
      <w:r>
        <w:t xml:space="preserve">Trapnell, C., Roberts, A., </w:t>
      </w:r>
      <w:r w:rsidRPr="008C7337">
        <w:rPr>
          <w:b/>
        </w:rPr>
        <w:t>Goff, L.,</w:t>
      </w:r>
      <w:r>
        <w:t xml:space="preserve"> Pertea, G., Kim, D., Kelley, D.R., Pimentel, H., Salzberg, S.L., Rinn, J.L., and Pachter, L. (2012). Differential gene and transcript expression analysis of RNA-seq experiments with TopHat and Cufflinks. Nat Protoc 7, 562–578.</w:t>
      </w:r>
      <w:r w:rsidR="00D54BF6">
        <w:t xml:space="preserve"> </w:t>
      </w:r>
      <w:r w:rsidR="00D54BF6" w:rsidRPr="00D54BF6">
        <w:t>PMCID: PMC3334321</w:t>
      </w:r>
    </w:p>
    <w:p w14:paraId="66305B53" w14:textId="00675EF2" w:rsidR="00717E9C" w:rsidRDefault="00717E9C" w:rsidP="00717E9C">
      <w:pPr>
        <w:pStyle w:val="ListParagraph"/>
        <w:numPr>
          <w:ilvl w:val="1"/>
          <w:numId w:val="23"/>
        </w:numPr>
      </w:pPr>
      <w:r>
        <w:t xml:space="preserve">Washietl, S., Will, S., Hendrix, D.A., </w:t>
      </w:r>
      <w:r w:rsidRPr="008C7337">
        <w:rPr>
          <w:b/>
        </w:rPr>
        <w:t>Goff, L.A.,</w:t>
      </w:r>
      <w:r>
        <w:t xml:space="preserve"> Rinn, J.L., Berger, B., and Kellis, M. (2012). Computational analysis of noncoding RNAs. Wiley Interdiscip Rev RNA 3, 759–778.</w:t>
      </w:r>
      <w:r w:rsidR="00D54BF6">
        <w:t xml:space="preserve"> </w:t>
      </w:r>
      <w:r w:rsidR="00D54BF6" w:rsidRPr="00D54BF6">
        <w:t>PMCID: PMC3472101</w:t>
      </w:r>
    </w:p>
    <w:p w14:paraId="327C7152" w14:textId="03D735AE" w:rsidR="0071060C" w:rsidRDefault="00717E9C" w:rsidP="0071060C">
      <w:pPr>
        <w:pStyle w:val="ListParagraph"/>
        <w:numPr>
          <w:ilvl w:val="1"/>
          <w:numId w:val="23"/>
        </w:numPr>
      </w:pPr>
      <w:r>
        <w:t xml:space="preserve">Trapnell, C., Hendrickson, D.G., Sauvageau, M., </w:t>
      </w:r>
      <w:r w:rsidRPr="008C7337">
        <w:rPr>
          <w:b/>
        </w:rPr>
        <w:t>Goff, L.,</w:t>
      </w:r>
      <w:r>
        <w:t xml:space="preserve"> Rinn, J.L., and Pachter, L. (2013). Differential analysis of gene regulation at transcript resolution with RNA-seq. Nat. Biotechnol. 31, 46–53.</w:t>
      </w:r>
      <w:r w:rsidR="00D54BF6">
        <w:t xml:space="preserve"> </w:t>
      </w:r>
      <w:r w:rsidR="00D54BF6" w:rsidRPr="00D54BF6">
        <w:t>PMCID: PMC3869392</w:t>
      </w:r>
    </w:p>
    <w:p w14:paraId="409779DB" w14:textId="5E3C4DE2" w:rsidR="0071060C" w:rsidRPr="0071060C" w:rsidRDefault="0071060C" w:rsidP="0071060C">
      <w:pPr>
        <w:pStyle w:val="ListParagraph"/>
        <w:numPr>
          <w:ilvl w:val="1"/>
          <w:numId w:val="23"/>
        </w:numPr>
      </w:pPr>
      <w:r w:rsidRPr="008C7337">
        <w:rPr>
          <w:b/>
        </w:rPr>
        <w:t>Goff, L</w:t>
      </w:r>
      <w:r w:rsidR="00D54BF6" w:rsidRPr="008C7337">
        <w:rPr>
          <w:b/>
        </w:rPr>
        <w:t>.,</w:t>
      </w:r>
      <w:r w:rsidR="00D54BF6">
        <w:t xml:space="preserve"> Trapnell, C., (2012)</w:t>
      </w:r>
      <w:r w:rsidR="008C7337">
        <w:t>.</w:t>
      </w:r>
      <w:r w:rsidR="00D54BF6">
        <w:t xml:space="preserve"> </w:t>
      </w:r>
      <w:r w:rsidRPr="0071060C">
        <w:t>Analysis, exploration, manipulation, and visualization of Cufflinks high-throughput sequencing dat</w:t>
      </w:r>
      <w:r w:rsidR="00D54BF6">
        <w:t xml:space="preserve">a. R package version 2.1. </w:t>
      </w:r>
      <w:hyperlink r:id="rId10" w:history="1">
        <w:r w:rsidR="00D54BF6">
          <w:rPr>
            <w:rStyle w:val="Hyperlink"/>
          </w:rPr>
          <w:t>w</w:t>
        </w:r>
        <w:r w:rsidR="00D54BF6" w:rsidRPr="00D54BF6">
          <w:rPr>
            <w:rStyle w:val="Hyperlink"/>
          </w:rPr>
          <w:t>ebsite</w:t>
        </w:r>
      </w:hyperlink>
      <w:r w:rsidRPr="0071060C">
        <w:t>.</w:t>
      </w:r>
    </w:p>
    <w:p w14:paraId="6FB7F98A" w14:textId="77777777" w:rsidR="004F075A" w:rsidRDefault="004F075A" w:rsidP="004F075A">
      <w:pPr>
        <w:pStyle w:val="ListParagraph"/>
        <w:ind w:left="1440"/>
      </w:pPr>
    </w:p>
    <w:p w14:paraId="2D7E5812" w14:textId="13E70F98" w:rsidR="00717E9C" w:rsidRDefault="0071060C" w:rsidP="00717E9C">
      <w:pPr>
        <w:pStyle w:val="ListParagraph"/>
        <w:numPr>
          <w:ilvl w:val="0"/>
          <w:numId w:val="23"/>
        </w:numPr>
      </w:pPr>
      <w:r>
        <w:t>Through various collaborative</w:t>
      </w:r>
      <w:r w:rsidR="00AF513E">
        <w:t xml:space="preserve"> and independent</w:t>
      </w:r>
      <w:r>
        <w:t xml:space="preserve"> projects, I have contributed to the identification of novel mechanisms for RNA-mediated regulation and to the development of transcriptome-wide </w:t>
      </w:r>
      <w:r w:rsidR="00CB02E3">
        <w:t>technologies</w:t>
      </w:r>
      <w:r>
        <w:t xml:space="preserve"> to elucidate functional RNA elements. In each case, my contributions </w:t>
      </w:r>
      <w:r w:rsidR="00CB02E3">
        <w:t>included</w:t>
      </w:r>
      <w:r>
        <w:t xml:space="preserve"> data acquisition and analysis, as well as experimental design</w:t>
      </w:r>
      <w:r w:rsidR="00C07C83">
        <w:t xml:space="preserve">, wet-bench experiments, and technology development. </w:t>
      </w:r>
    </w:p>
    <w:p w14:paraId="2E5B7141" w14:textId="0D95DEE8" w:rsidR="004F075A" w:rsidRDefault="004F075A" w:rsidP="004F075A">
      <w:pPr>
        <w:pStyle w:val="ListParagraph"/>
        <w:numPr>
          <w:ilvl w:val="1"/>
          <w:numId w:val="23"/>
        </w:numPr>
      </w:pPr>
      <w:r>
        <w:t xml:space="preserve">Di Ruscio, A., Ebralidze, A.K., Benoukraf, T., Amabile, G., </w:t>
      </w:r>
      <w:r w:rsidRPr="008C7337">
        <w:rPr>
          <w:b/>
        </w:rPr>
        <w:t>Goff, L.A.,</w:t>
      </w:r>
      <w:r>
        <w:t xml:space="preserve"> Terragni, J., Figueroa, M.E., De Figueiredo Pontes, L.L., Alberich-Jorda, M., Zhang, P., et al. (2013). DNMT1-interacting RNAs block gene-specific DNA methylation. Nature 503, 371–376.</w:t>
      </w:r>
      <w:r w:rsidR="005D1BCD">
        <w:t xml:space="preserve"> </w:t>
      </w:r>
      <w:r w:rsidR="005D1BCD" w:rsidRPr="005D1BCD">
        <w:t>PMCID: PMC3870304</w:t>
      </w:r>
    </w:p>
    <w:p w14:paraId="051490FA" w14:textId="3AE1E0F5" w:rsidR="004F075A" w:rsidRDefault="004F075A" w:rsidP="004F075A">
      <w:pPr>
        <w:pStyle w:val="ListParagraph"/>
        <w:numPr>
          <w:ilvl w:val="1"/>
          <w:numId w:val="23"/>
        </w:numPr>
      </w:pPr>
      <w:r>
        <w:t>Grego</w:t>
      </w:r>
      <w:r w:rsidR="008C7337">
        <w:t xml:space="preserve">ry, B.D., Rinn, J., Li, F., </w:t>
      </w:r>
      <w:r>
        <w:t>Trapnell, C.</w:t>
      </w:r>
      <w:r w:rsidR="008C7337">
        <w:t xml:space="preserve">, and </w:t>
      </w:r>
      <w:r w:rsidR="008C7337" w:rsidRPr="008C7337">
        <w:rPr>
          <w:b/>
        </w:rPr>
        <w:t>Goff, L.A.</w:t>
      </w:r>
      <w:r>
        <w:t xml:space="preserve"> (2013). High-throughput methodology for identifying </w:t>
      </w:r>
      <w:r w:rsidR="0071060C">
        <w:t>RNA</w:t>
      </w:r>
      <w:r>
        <w:t>-protein interactions transcriptome-wide. US Patent Office. US 2013/0338009 A1.</w:t>
      </w:r>
    </w:p>
    <w:p w14:paraId="66653D0B" w14:textId="77777777" w:rsidR="00E81E2D" w:rsidRDefault="004F075A" w:rsidP="00E81E2D">
      <w:pPr>
        <w:pStyle w:val="ListParagraph"/>
        <w:numPr>
          <w:ilvl w:val="1"/>
          <w:numId w:val="23"/>
        </w:numPr>
      </w:pPr>
      <w:r>
        <w:t xml:space="preserve">Silverman, I.M., Li, F., Alexander, A., </w:t>
      </w:r>
      <w:r w:rsidRPr="008C7337">
        <w:rPr>
          <w:b/>
        </w:rPr>
        <w:t>Goff, L.,</w:t>
      </w:r>
      <w:r>
        <w:t xml:space="preserve"> Trapnell, C., Rinn, J.L., and Gregory, B.D. (2014). RNase-mediated protein footprint sequencing reveals protein-binding sites throughout the human transcriptome. Genome Biol 15, R3.</w:t>
      </w:r>
      <w:r w:rsidR="005D1BCD">
        <w:t xml:space="preserve"> </w:t>
      </w:r>
      <w:r w:rsidR="005D1BCD" w:rsidRPr="005D1BCD">
        <w:t>PMCID: PMC4053792</w:t>
      </w:r>
    </w:p>
    <w:p w14:paraId="40FF28A7" w14:textId="50C72C2B" w:rsidR="00E81E2D" w:rsidRDefault="00E81E2D" w:rsidP="00E81E2D">
      <w:pPr>
        <w:pStyle w:val="ListParagraph"/>
        <w:numPr>
          <w:ilvl w:val="1"/>
          <w:numId w:val="23"/>
        </w:numPr>
      </w:pPr>
      <w:r w:rsidRPr="00717E9C">
        <w:t>Hacisuleyman, E.</w:t>
      </w:r>
      <w:r>
        <w:t>*</w:t>
      </w:r>
      <w:r w:rsidRPr="00717E9C">
        <w:t xml:space="preserve">, </w:t>
      </w:r>
      <w:r w:rsidRPr="00E81E2D">
        <w:rPr>
          <w:b/>
        </w:rPr>
        <w:t>Goff, L.A.*,</w:t>
      </w:r>
      <w:r w:rsidRPr="00717E9C">
        <w:t xml:space="preserve"> Trapnell, C., Williams, A., Henao-Mejia, J., Sun, L., McClanahan, P., Hendrickson, D.G., Sauvageau, M., Kelley, D.R., et al. (2014). Topological organization of multichromosomal regions by the long intergenic noncoding RNA Firre. Nat. Struct. Mol. Biol. 21, 198–206.</w:t>
      </w:r>
      <w:r w:rsidRPr="004F075A">
        <w:t xml:space="preserve"> </w:t>
      </w:r>
      <w:r w:rsidRPr="00E81E2D">
        <w:rPr>
          <w:i/>
        </w:rPr>
        <w:t>*Authors contributed equally</w:t>
      </w:r>
      <w:r>
        <w:t>. PMCID: PMC3950333</w:t>
      </w:r>
    </w:p>
    <w:p w14:paraId="7FED0D4D" w14:textId="77777777" w:rsidR="004F075A" w:rsidRDefault="004F075A" w:rsidP="004F075A">
      <w:pPr>
        <w:pStyle w:val="ListParagraph"/>
        <w:ind w:left="1440"/>
      </w:pPr>
    </w:p>
    <w:p w14:paraId="4A97CEEA" w14:textId="1CB59AD5" w:rsidR="00717E9C" w:rsidRDefault="001A5FEB" w:rsidP="000970CF">
      <w:pPr>
        <w:pStyle w:val="ListParagraph"/>
        <w:numPr>
          <w:ilvl w:val="0"/>
          <w:numId w:val="23"/>
        </w:numPr>
      </w:pPr>
      <w:r>
        <w:t xml:space="preserve">My recent work has focused on transcriptional characterization of enriched subpopulations of neuronal cell types during development. A major obstacle to our understanding of the organization and development of the mammalian brain has been the inherent complexity and cellular heterogeneity of this important tissue. To address this, I contributed to the development of a technique </w:t>
      </w:r>
      <w:r w:rsidR="00152FCA">
        <w:t>for</w:t>
      </w:r>
      <w:r>
        <w:t xml:space="preserve"> enrichment of specific ne</w:t>
      </w:r>
      <w:r w:rsidR="00B53434">
        <w:t xml:space="preserve">uronal subtypes that enabled, for the first time, comprehensive transcriptional profiling of relatively homogenous populations of neurons. </w:t>
      </w:r>
      <w:r w:rsidR="00F64AEE">
        <w:t>This achievement permits the focused characterization of specific classes of neurons and the identification of both coding and non-coding genes that contribute to the establishment of distinct neuronal identities.</w:t>
      </w:r>
    </w:p>
    <w:p w14:paraId="0D6B9F04" w14:textId="06856CC9" w:rsidR="000970CF" w:rsidRDefault="000970CF" w:rsidP="000970CF">
      <w:pPr>
        <w:pStyle w:val="ListParagraph"/>
        <w:numPr>
          <w:ilvl w:val="1"/>
          <w:numId w:val="23"/>
        </w:numPr>
      </w:pPr>
      <w:r>
        <w:t xml:space="preserve">Lodato, S., Molyneaux, B.J., Zuccaro, E., </w:t>
      </w:r>
      <w:r w:rsidRPr="008C7337">
        <w:rPr>
          <w:b/>
        </w:rPr>
        <w:t>Goff, L.A.,</w:t>
      </w:r>
      <w:r>
        <w:t xml:space="preserve"> Chen, H.-H., Yuan, W., Meleski, A., Takahashi, E., Mahony, S., Rinn, J.L., et al. (2014). Gene co-regulation by Fezf2 selects </w:t>
      </w:r>
      <w:r>
        <w:lastRenderedPageBreak/>
        <w:t>neurotransmitter identity and connectivity of corticospinal neurons. Nature Neuroscience 17, 1046–1054.</w:t>
      </w:r>
      <w:r w:rsidR="005D1BCD">
        <w:t xml:space="preserve"> </w:t>
      </w:r>
      <w:r w:rsidR="005D1BCD" w:rsidRPr="005D1BCD">
        <w:t>PMCID: PMC4188416</w:t>
      </w:r>
    </w:p>
    <w:p w14:paraId="224DEEE5" w14:textId="6ACC175B" w:rsidR="00AF513E" w:rsidRPr="00E81E2D" w:rsidRDefault="000970CF" w:rsidP="00FD06A0">
      <w:pPr>
        <w:pStyle w:val="ListParagraph"/>
        <w:numPr>
          <w:ilvl w:val="1"/>
          <w:numId w:val="23"/>
        </w:numPr>
      </w:pPr>
      <w:r>
        <w:t xml:space="preserve">Molyneaux, B.J.*, </w:t>
      </w:r>
      <w:r w:rsidRPr="008C7337">
        <w:rPr>
          <w:b/>
        </w:rPr>
        <w:t>Goff, L.A.*,</w:t>
      </w:r>
      <w:r>
        <w:t xml:space="preserve"> Brettler, A.C., Chen, H.-H., Brown, J.R., Hrvatin, S., Rinn, J.L., and Arlotta, P. (2015). DeCoN: genome-wide analysis of in vivo transcriptional dynamics during pyramidal neuron fate selection in neocortex. Neuron 85, 275–288.</w:t>
      </w:r>
      <w:r w:rsidR="005D1BCD">
        <w:t xml:space="preserve"> </w:t>
      </w:r>
      <w:r w:rsidRPr="008C7337">
        <w:rPr>
          <w:i/>
        </w:rPr>
        <w:t>*Authors Contributed Equally</w:t>
      </w:r>
      <w:r w:rsidR="00E81E2D">
        <w:rPr>
          <w:i/>
        </w:rPr>
        <w:t xml:space="preserve"> </w:t>
      </w:r>
      <w:r w:rsidR="00E81E2D" w:rsidRPr="00E81E2D">
        <w:t xml:space="preserve">PMCID: </w:t>
      </w:r>
      <w:r w:rsidR="00FD06A0" w:rsidRPr="00FD06A0">
        <w:t>PMC4430475</w:t>
      </w:r>
    </w:p>
    <w:p w14:paraId="511FA52D" w14:textId="535C2DE5" w:rsidR="00E563A5" w:rsidRDefault="00AF513E" w:rsidP="00E563A5">
      <w:pPr>
        <w:pStyle w:val="ListParagraph"/>
        <w:numPr>
          <w:ilvl w:val="1"/>
          <w:numId w:val="23"/>
        </w:numPr>
        <w:autoSpaceDE/>
        <w:autoSpaceDN/>
      </w:pPr>
      <w:r>
        <w:rPr>
          <w:b/>
        </w:rPr>
        <w:t>Goff, L.A.</w:t>
      </w:r>
      <w:r>
        <w:t>, Rinn, J.L. (2015) Linking RNA Biology to lncRNAs. Genome Research 25:1442-1455. PMCID: PMC4579330</w:t>
      </w:r>
      <w:r w:rsidR="004A09F9" w:rsidRPr="004A09F9">
        <w:rPr>
          <w:i/>
        </w:rPr>
        <w:br/>
      </w:r>
    </w:p>
    <w:p w14:paraId="514AC56A" w14:textId="684FF379" w:rsidR="00E563A5" w:rsidRDefault="00E563A5" w:rsidP="00E563A5">
      <w:r w:rsidRPr="00E563A5">
        <w:rPr>
          <w:rFonts w:cs="Arial"/>
          <w:b/>
          <w:szCs w:val="20"/>
          <w:u w:val="single"/>
        </w:rPr>
        <w:t>Complete List of Pub</w:t>
      </w:r>
      <w:r w:rsidR="008C7337">
        <w:rPr>
          <w:rFonts w:cs="Arial"/>
          <w:b/>
          <w:szCs w:val="20"/>
          <w:u w:val="single"/>
        </w:rPr>
        <w:t xml:space="preserve">lished Work in MyBibliography: </w:t>
      </w:r>
      <w:hyperlink r:id="rId11" w:history="1">
        <w:r w:rsidRPr="0002035B">
          <w:rPr>
            <w:rStyle w:val="Hyperlink"/>
            <w:rFonts w:cs="Arial"/>
            <w:color w:val="551A8B"/>
            <w:szCs w:val="22"/>
            <w:bdr w:val="none" w:sz="0" w:space="0" w:color="auto" w:frame="1"/>
            <w:shd w:val="clear" w:color="auto" w:fill="FFFFFF"/>
          </w:rPr>
          <w:t>http://www.ncbi.nlm.nih.gov/sites/myncbi/1FeogldaNj7/bibliography/40255272/public/?sort=date&amp;direction=ascending</w:t>
        </w:r>
      </w:hyperlink>
    </w:p>
    <w:p w14:paraId="4DF5C4C8" w14:textId="29133AEF" w:rsidR="00E67A05" w:rsidRDefault="00E67A05" w:rsidP="004D4AC4">
      <w:pPr>
        <w:pStyle w:val="Heading1"/>
      </w:pPr>
      <w:r>
        <w:t>D.</w:t>
      </w:r>
      <w:r>
        <w:tab/>
        <w:t>Research Support</w:t>
      </w:r>
    </w:p>
    <w:p w14:paraId="0CEED2A9" w14:textId="77777777" w:rsidR="00AD2703" w:rsidRDefault="00AD2703" w:rsidP="00AD2703">
      <w:pPr>
        <w:pStyle w:val="DataField11pt-Single"/>
        <w:tabs>
          <w:tab w:val="left" w:pos="10620"/>
        </w:tabs>
        <w:ind w:right="360"/>
      </w:pPr>
      <w:r w:rsidRPr="00160C08">
        <w:rPr>
          <w:b/>
          <w:u w:val="single"/>
        </w:rPr>
        <w:t>Ongoing Research Support</w:t>
      </w:r>
    </w:p>
    <w:p w14:paraId="411B0E8E" w14:textId="39310B31" w:rsidR="00D65F8E" w:rsidRDefault="00D65F8E" w:rsidP="00D65F8E">
      <w:pPr>
        <w:pStyle w:val="DataField11pt-Single"/>
        <w:tabs>
          <w:tab w:val="left" w:pos="2880"/>
          <w:tab w:val="left" w:pos="7920"/>
        </w:tabs>
        <w:ind w:right="360"/>
        <w:contextualSpacing/>
      </w:pPr>
      <w:r>
        <w:t xml:space="preserve">2016-MSCRFI-2805 </w:t>
      </w:r>
      <w:r>
        <w:tab/>
        <w:t>(Goff - PI)</w:t>
      </w:r>
      <w:r>
        <w:tab/>
        <w:t>6/01/2016 – 05/31/2019</w:t>
      </w:r>
      <w:r>
        <w:tab/>
      </w:r>
    </w:p>
    <w:p w14:paraId="460A2225" w14:textId="1DAEFB7E" w:rsidR="00D65F8E" w:rsidRDefault="00D65F8E" w:rsidP="00D65F8E">
      <w:pPr>
        <w:pStyle w:val="DataField11pt-Single"/>
        <w:tabs>
          <w:tab w:val="left" w:pos="10620"/>
        </w:tabs>
        <w:ind w:right="360"/>
        <w:contextualSpacing/>
      </w:pPr>
      <w:r>
        <w:t>Maryland Stem Cell Research Commission</w:t>
      </w:r>
    </w:p>
    <w:p w14:paraId="03FB1183" w14:textId="68F23653" w:rsidR="00D65F8E" w:rsidRPr="00D65F8E" w:rsidRDefault="00D65F8E" w:rsidP="00D65F8E">
      <w:pPr>
        <w:pStyle w:val="DataField11pt-Single"/>
        <w:tabs>
          <w:tab w:val="left" w:pos="10620"/>
        </w:tabs>
        <w:ind w:right="360"/>
        <w:contextualSpacing/>
        <w:rPr>
          <w:i/>
        </w:rPr>
      </w:pPr>
      <w:r w:rsidRPr="00D65F8E">
        <w:rPr>
          <w:i/>
        </w:rPr>
        <w:t>Single cell analysis of hippocampal neurogenesis defects in Kabuki Syndrome 1</w:t>
      </w:r>
    </w:p>
    <w:p w14:paraId="51DB7F25" w14:textId="77777777" w:rsidR="00D65F8E" w:rsidRDefault="00D65F8E" w:rsidP="00D65F8E">
      <w:pPr>
        <w:pStyle w:val="DataField11pt-Single"/>
        <w:tabs>
          <w:tab w:val="left" w:pos="10620"/>
        </w:tabs>
        <w:ind w:right="360"/>
        <w:contextualSpacing/>
      </w:pPr>
      <w:r>
        <w:t>The major goals of this project are to characterize the molecular mechanisms responsible for learning and memory dysfunction as a result of defective neurogenesis associated with Kabuki Syndrome 1 patient mutations.</w:t>
      </w:r>
    </w:p>
    <w:p w14:paraId="7E427D0D" w14:textId="77777777" w:rsidR="006B50E9" w:rsidRDefault="006B50E9" w:rsidP="00D65F8E">
      <w:pPr>
        <w:pStyle w:val="DataField11pt-Single"/>
        <w:tabs>
          <w:tab w:val="left" w:pos="10620"/>
        </w:tabs>
        <w:ind w:right="360"/>
        <w:contextualSpacing/>
      </w:pPr>
    </w:p>
    <w:p w14:paraId="22580CCF" w14:textId="5EF3ADB3" w:rsidR="006B50E9" w:rsidRDefault="006B50E9" w:rsidP="006B50E9">
      <w:pPr>
        <w:rPr>
          <w:rFonts w:cs="Arial"/>
          <w:szCs w:val="22"/>
        </w:rPr>
      </w:pPr>
      <w:r>
        <w:rPr>
          <w:rFonts w:cs="Arial"/>
          <w:szCs w:val="22"/>
        </w:rPr>
        <w:t>SLI (Goff – Co-PI)</w:t>
      </w:r>
      <w:r w:rsidRPr="00AF50AA">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06</w:t>
      </w:r>
      <w:r w:rsidRPr="00A40038">
        <w:rPr>
          <w:rFonts w:cs="Arial"/>
          <w:szCs w:val="22"/>
        </w:rPr>
        <w:t>/</w:t>
      </w:r>
      <w:r>
        <w:rPr>
          <w:rFonts w:cs="Arial"/>
          <w:szCs w:val="22"/>
        </w:rPr>
        <w:t>0</w:t>
      </w:r>
      <w:r w:rsidRPr="00A40038">
        <w:rPr>
          <w:rFonts w:cs="Arial"/>
          <w:szCs w:val="22"/>
        </w:rPr>
        <w:t>1/</w:t>
      </w:r>
      <w:r>
        <w:rPr>
          <w:rFonts w:cs="Arial"/>
          <w:szCs w:val="22"/>
        </w:rPr>
        <w:t>2016</w:t>
      </w:r>
      <w:r w:rsidRPr="00A40038">
        <w:rPr>
          <w:rFonts w:cs="Arial"/>
          <w:szCs w:val="22"/>
        </w:rPr>
        <w:t xml:space="preserve"> – </w:t>
      </w:r>
      <w:r>
        <w:rPr>
          <w:rFonts w:cs="Arial"/>
          <w:szCs w:val="22"/>
        </w:rPr>
        <w:t>05</w:t>
      </w:r>
      <w:r w:rsidRPr="00A40038">
        <w:rPr>
          <w:rFonts w:cs="Arial"/>
          <w:szCs w:val="22"/>
        </w:rPr>
        <w:t>/3</w:t>
      </w:r>
      <w:r>
        <w:rPr>
          <w:rFonts w:cs="Arial"/>
          <w:szCs w:val="22"/>
        </w:rPr>
        <w:t>0</w:t>
      </w:r>
      <w:r w:rsidRPr="00A40038">
        <w:rPr>
          <w:rFonts w:cs="Arial"/>
          <w:szCs w:val="22"/>
        </w:rPr>
        <w:t>/20</w:t>
      </w:r>
      <w:r>
        <w:rPr>
          <w:rFonts w:cs="Arial"/>
          <w:szCs w:val="22"/>
        </w:rPr>
        <w:t>18</w:t>
      </w:r>
    </w:p>
    <w:p w14:paraId="26F0375E" w14:textId="2FA2599F" w:rsidR="006B50E9" w:rsidRDefault="006B50E9" w:rsidP="006B50E9">
      <w:pPr>
        <w:rPr>
          <w:rFonts w:cs="Arial"/>
          <w:szCs w:val="22"/>
        </w:rPr>
      </w:pPr>
      <w:r>
        <w:rPr>
          <w:rFonts w:cs="Arial"/>
          <w:szCs w:val="22"/>
        </w:rPr>
        <w:t>Johns Hopkins Science of Learning Institute</w:t>
      </w:r>
      <w:r>
        <w:rPr>
          <w:rFonts w:cs="Arial"/>
          <w:szCs w:val="22"/>
        </w:rPr>
        <w:tab/>
      </w:r>
    </w:p>
    <w:p w14:paraId="67050515" w14:textId="455BA7A9" w:rsidR="006B50E9" w:rsidRPr="006B50E9" w:rsidRDefault="006B50E9" w:rsidP="006B50E9">
      <w:pPr>
        <w:rPr>
          <w:rFonts w:cs="Arial"/>
          <w:i/>
          <w:szCs w:val="22"/>
        </w:rPr>
      </w:pPr>
      <w:r w:rsidRPr="006B50E9">
        <w:rPr>
          <w:rFonts w:cs="Arial"/>
          <w:i/>
          <w:szCs w:val="22"/>
        </w:rPr>
        <w:t>Cell-type specific heterogeneity in experience-induced gene expression</w:t>
      </w:r>
    </w:p>
    <w:p w14:paraId="46A0D8DC" w14:textId="77777777" w:rsidR="006B50E9" w:rsidRDefault="006B50E9" w:rsidP="006B50E9">
      <w:pPr>
        <w:rPr>
          <w:rFonts w:cs="Arial"/>
          <w:szCs w:val="22"/>
        </w:rPr>
      </w:pPr>
      <w:r>
        <w:rPr>
          <w:rFonts w:cs="Arial"/>
          <w:szCs w:val="22"/>
        </w:rPr>
        <w:t>The major goals of this project are to generate preliminary data on common and variable transcriptional signatures of plasticity across distinct populations of neuronal cell types and sensory inputs.</w:t>
      </w:r>
    </w:p>
    <w:p w14:paraId="4FC9EBF5" w14:textId="77777777" w:rsidR="0002316D" w:rsidRDefault="0002316D" w:rsidP="006B50E9">
      <w:pPr>
        <w:rPr>
          <w:rFonts w:cs="Arial"/>
          <w:szCs w:val="22"/>
        </w:rPr>
      </w:pPr>
    </w:p>
    <w:p w14:paraId="648E6387" w14:textId="56E94BB8" w:rsidR="0002316D" w:rsidRDefault="0002316D" w:rsidP="0002316D">
      <w:pPr>
        <w:pStyle w:val="CommentText"/>
        <w:tabs>
          <w:tab w:val="left" w:pos="360"/>
        </w:tabs>
        <w:rPr>
          <w:rFonts w:cs="Arial"/>
          <w:sz w:val="22"/>
          <w:szCs w:val="22"/>
        </w:rPr>
      </w:pPr>
      <w:r w:rsidRPr="00E27177">
        <w:rPr>
          <w:rFonts w:cs="Arial"/>
          <w:sz w:val="22"/>
          <w:szCs w:val="22"/>
        </w:rPr>
        <w:t>IOS-1665692</w:t>
      </w:r>
      <w:r>
        <w:rPr>
          <w:rFonts w:cs="Arial"/>
          <w:sz w:val="22"/>
          <w:szCs w:val="22"/>
        </w:rPr>
        <w:t xml:space="preserve"> (Brown/Goff)</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03/01/2017</w:t>
      </w:r>
      <w:r w:rsidRPr="00A40038">
        <w:rPr>
          <w:rFonts w:cs="Arial"/>
          <w:sz w:val="22"/>
          <w:szCs w:val="22"/>
        </w:rPr>
        <w:t xml:space="preserve"> –</w:t>
      </w:r>
      <w:r>
        <w:rPr>
          <w:rFonts w:cs="Arial"/>
          <w:sz w:val="22"/>
          <w:szCs w:val="22"/>
        </w:rPr>
        <w:t xml:space="preserve"> 02/28/2021</w:t>
      </w:r>
    </w:p>
    <w:p w14:paraId="458D17CC" w14:textId="3AD8F882" w:rsidR="0002316D" w:rsidRDefault="0002316D" w:rsidP="0002316D">
      <w:pPr>
        <w:pStyle w:val="CommentText"/>
        <w:tabs>
          <w:tab w:val="left" w:pos="360"/>
        </w:tabs>
        <w:rPr>
          <w:rFonts w:cs="Arial"/>
          <w:sz w:val="22"/>
          <w:szCs w:val="22"/>
        </w:rPr>
      </w:pPr>
      <w:r>
        <w:rPr>
          <w:rFonts w:cs="Arial"/>
          <w:sz w:val="22"/>
          <w:szCs w:val="22"/>
        </w:rPr>
        <w:t>National Science Foundation</w:t>
      </w:r>
    </w:p>
    <w:p w14:paraId="106DEF9F" w14:textId="52E2D741" w:rsidR="0002316D" w:rsidRPr="007A3205" w:rsidRDefault="0002316D" w:rsidP="0002316D">
      <w:pPr>
        <w:rPr>
          <w:rFonts w:cs="Arial"/>
          <w:szCs w:val="22"/>
        </w:rPr>
      </w:pPr>
      <w:r>
        <w:rPr>
          <w:rFonts w:cs="Arial"/>
          <w:szCs w:val="22"/>
        </w:rPr>
        <w:t>Cell type specific gene expression differences induced by experience-dependent plasticity</w:t>
      </w:r>
    </w:p>
    <w:p w14:paraId="57C4575A" w14:textId="77777777" w:rsidR="006B50E9" w:rsidRDefault="006B50E9" w:rsidP="00D65F8E">
      <w:pPr>
        <w:pStyle w:val="DataField11pt-Single"/>
        <w:tabs>
          <w:tab w:val="left" w:pos="10620"/>
        </w:tabs>
        <w:ind w:right="360"/>
        <w:contextualSpacing/>
      </w:pPr>
    </w:p>
    <w:p w14:paraId="3D78909D" w14:textId="5A3718DC" w:rsidR="00C9171D" w:rsidRDefault="00C9171D" w:rsidP="0002316D">
      <w:pPr>
        <w:pStyle w:val="DataField11pt-Single"/>
        <w:ind w:right="360"/>
        <w:contextualSpacing/>
      </w:pPr>
      <w:r>
        <w:t>TBD</w:t>
      </w:r>
      <w:r w:rsidR="0002316D">
        <w:t xml:space="preserve"> (Goff – Co-</w:t>
      </w:r>
      <w:r>
        <w:t>PI)</w:t>
      </w:r>
      <w:r w:rsidR="0039212C">
        <w:tab/>
      </w:r>
      <w:r w:rsidR="0039212C">
        <w:tab/>
      </w:r>
      <w:r w:rsidR="0039212C">
        <w:tab/>
      </w:r>
      <w:r w:rsidR="0039212C">
        <w:tab/>
      </w:r>
      <w:r w:rsidR="0039212C">
        <w:tab/>
      </w:r>
      <w:r w:rsidR="0039212C">
        <w:tab/>
      </w:r>
      <w:r w:rsidR="0039212C">
        <w:tab/>
      </w:r>
      <w:r w:rsidR="0039212C">
        <w:tab/>
      </w:r>
      <w:r w:rsidR="0039212C">
        <w:tab/>
      </w:r>
      <w:r w:rsidR="0039212C">
        <w:tab/>
      </w:r>
      <w:r w:rsidR="0039212C">
        <w:tab/>
      </w:r>
      <w:r w:rsidR="0039212C">
        <w:tab/>
      </w:r>
      <w:r w:rsidR="0039212C">
        <w:tab/>
      </w:r>
      <w:r w:rsidR="0039212C">
        <w:tab/>
      </w:r>
      <w:r w:rsidR="0039212C">
        <w:tab/>
      </w:r>
      <w:r w:rsidR="0039212C">
        <w:tab/>
      </w:r>
      <w:r w:rsidR="0039212C">
        <w:tab/>
      </w:r>
      <w:r w:rsidR="0039212C">
        <w:rPr>
          <w:szCs w:val="22"/>
        </w:rPr>
        <w:t>0</w:t>
      </w:r>
      <w:r w:rsidR="00BC4D3B">
        <w:rPr>
          <w:szCs w:val="22"/>
        </w:rPr>
        <w:t>5</w:t>
      </w:r>
      <w:r w:rsidR="0039212C">
        <w:rPr>
          <w:szCs w:val="22"/>
        </w:rPr>
        <w:t>/01/2017</w:t>
      </w:r>
      <w:r w:rsidR="0039212C" w:rsidRPr="00A40038">
        <w:rPr>
          <w:szCs w:val="22"/>
        </w:rPr>
        <w:t xml:space="preserve"> –</w:t>
      </w:r>
      <w:r w:rsidR="0039212C">
        <w:rPr>
          <w:szCs w:val="22"/>
        </w:rPr>
        <w:t xml:space="preserve"> 0</w:t>
      </w:r>
      <w:r w:rsidR="00BC4D3B">
        <w:rPr>
          <w:szCs w:val="22"/>
        </w:rPr>
        <w:t>4</w:t>
      </w:r>
      <w:r w:rsidR="0039212C">
        <w:rPr>
          <w:szCs w:val="22"/>
        </w:rPr>
        <w:t>/</w:t>
      </w:r>
      <w:r w:rsidR="00BC4D3B">
        <w:rPr>
          <w:szCs w:val="22"/>
        </w:rPr>
        <w:t>30</w:t>
      </w:r>
      <w:r w:rsidR="0039212C">
        <w:rPr>
          <w:szCs w:val="22"/>
        </w:rPr>
        <w:t>/20</w:t>
      </w:r>
      <w:r w:rsidR="00BC4D3B">
        <w:rPr>
          <w:szCs w:val="22"/>
        </w:rPr>
        <w:t>18</w:t>
      </w:r>
    </w:p>
    <w:p w14:paraId="1433CC53" w14:textId="77777777" w:rsidR="00C9171D" w:rsidRDefault="00C9171D" w:rsidP="0002316D">
      <w:pPr>
        <w:pStyle w:val="DataField11pt-Single"/>
        <w:ind w:right="360"/>
        <w:contextualSpacing/>
      </w:pPr>
      <w:r>
        <w:t>TargetALS Foundation</w:t>
      </w:r>
    </w:p>
    <w:p w14:paraId="0EC19694" w14:textId="0F046949" w:rsidR="00BC4D3B" w:rsidRPr="00BC4D3B" w:rsidRDefault="00BC4D3B" w:rsidP="0002316D">
      <w:pPr>
        <w:pStyle w:val="DataField11pt-Single"/>
        <w:ind w:right="360"/>
        <w:contextualSpacing/>
        <w:rPr>
          <w:i/>
        </w:rPr>
      </w:pPr>
      <w:r w:rsidRPr="00BC4D3B">
        <w:rPr>
          <w:i/>
        </w:rPr>
        <w:t>Cellular Mechanisms of Cortical Hyperexcitability</w:t>
      </w:r>
    </w:p>
    <w:p w14:paraId="33BA5966" w14:textId="3257083E" w:rsidR="00BC4D3B" w:rsidRDefault="00BC4D3B" w:rsidP="0002316D">
      <w:pPr>
        <w:pStyle w:val="DataField11pt-Single"/>
        <w:ind w:right="360"/>
        <w:contextualSpacing/>
      </w:pPr>
      <w:r>
        <w:t xml:space="preserve">This project will explore the cell-type-specific effects of familial ALS mutations on hyperexcitability of cortical neurons, and the common and distinct gene expression changes that evoke this phenotype in ALS </w:t>
      </w:r>
      <w:r w:rsidR="00251B48">
        <w:t>mouse models</w:t>
      </w:r>
      <w:r>
        <w:t xml:space="preserve">.  </w:t>
      </w:r>
    </w:p>
    <w:p w14:paraId="184549F6" w14:textId="77777777" w:rsidR="00FF263C" w:rsidRDefault="00FF263C" w:rsidP="0002316D">
      <w:pPr>
        <w:pStyle w:val="DataField11pt-Single"/>
        <w:ind w:right="360"/>
        <w:contextualSpacing/>
      </w:pPr>
    </w:p>
    <w:p w14:paraId="0477EA08" w14:textId="0DD7C41E" w:rsidR="00FF263C" w:rsidRDefault="00FF263C" w:rsidP="00FF263C">
      <w:pPr>
        <w:rPr>
          <w:rFonts w:cs="Arial"/>
          <w:szCs w:val="22"/>
        </w:rPr>
      </w:pPr>
      <w:r>
        <w:rPr>
          <w:rFonts w:cs="Arial"/>
          <w:szCs w:val="22"/>
        </w:rPr>
        <w:t xml:space="preserve">JHU Discovery Fund (Goff – </w:t>
      </w:r>
      <w:r>
        <w:rPr>
          <w:rFonts w:cs="Arial"/>
          <w:szCs w:val="22"/>
        </w:rPr>
        <w:t>PI)</w:t>
      </w:r>
      <w:r w:rsidRPr="00AF50AA">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0</w:t>
      </w:r>
      <w:r>
        <w:rPr>
          <w:rFonts w:cs="Arial"/>
          <w:szCs w:val="22"/>
        </w:rPr>
        <w:t>7</w:t>
      </w:r>
      <w:r w:rsidRPr="00A40038">
        <w:rPr>
          <w:rFonts w:cs="Arial"/>
          <w:szCs w:val="22"/>
        </w:rPr>
        <w:t>/</w:t>
      </w:r>
      <w:r>
        <w:rPr>
          <w:rFonts w:cs="Arial"/>
          <w:szCs w:val="22"/>
        </w:rPr>
        <w:t>0</w:t>
      </w:r>
      <w:r w:rsidRPr="00A40038">
        <w:rPr>
          <w:rFonts w:cs="Arial"/>
          <w:szCs w:val="22"/>
        </w:rPr>
        <w:t>1/</w:t>
      </w:r>
      <w:r>
        <w:rPr>
          <w:rFonts w:cs="Arial"/>
          <w:szCs w:val="22"/>
        </w:rPr>
        <w:t>201</w:t>
      </w:r>
      <w:r>
        <w:rPr>
          <w:rFonts w:cs="Arial"/>
          <w:szCs w:val="22"/>
        </w:rPr>
        <w:t>7</w:t>
      </w:r>
      <w:r w:rsidRPr="00A40038">
        <w:rPr>
          <w:rFonts w:cs="Arial"/>
          <w:szCs w:val="22"/>
        </w:rPr>
        <w:t xml:space="preserve"> – </w:t>
      </w:r>
      <w:r>
        <w:rPr>
          <w:rFonts w:cs="Arial"/>
          <w:szCs w:val="22"/>
        </w:rPr>
        <w:t>0</w:t>
      </w:r>
      <w:r>
        <w:rPr>
          <w:rFonts w:cs="Arial"/>
          <w:szCs w:val="22"/>
        </w:rPr>
        <w:t>6</w:t>
      </w:r>
      <w:r w:rsidRPr="00A40038">
        <w:rPr>
          <w:rFonts w:cs="Arial"/>
          <w:szCs w:val="22"/>
        </w:rPr>
        <w:t>/3</w:t>
      </w:r>
      <w:r>
        <w:rPr>
          <w:rFonts w:cs="Arial"/>
          <w:szCs w:val="22"/>
        </w:rPr>
        <w:t>0</w:t>
      </w:r>
      <w:r w:rsidRPr="00A40038">
        <w:rPr>
          <w:rFonts w:cs="Arial"/>
          <w:szCs w:val="22"/>
        </w:rPr>
        <w:t>/20</w:t>
      </w:r>
      <w:r>
        <w:rPr>
          <w:rFonts w:cs="Arial"/>
          <w:szCs w:val="22"/>
        </w:rPr>
        <w:t>18</w:t>
      </w:r>
    </w:p>
    <w:p w14:paraId="0759EB75" w14:textId="67E28272" w:rsidR="00FF263C" w:rsidRDefault="00FF263C" w:rsidP="00FF263C">
      <w:pPr>
        <w:rPr>
          <w:rFonts w:cs="Arial"/>
          <w:szCs w:val="22"/>
        </w:rPr>
      </w:pPr>
      <w:r>
        <w:rPr>
          <w:rFonts w:cs="Arial"/>
          <w:szCs w:val="22"/>
        </w:rPr>
        <w:t xml:space="preserve">Johns Hopkins </w:t>
      </w:r>
      <w:r>
        <w:rPr>
          <w:rFonts w:cs="Arial"/>
          <w:szCs w:val="22"/>
        </w:rPr>
        <w:t>Discovery Fund Synergy Award</w:t>
      </w:r>
      <w:r>
        <w:rPr>
          <w:rFonts w:cs="Arial"/>
          <w:szCs w:val="22"/>
        </w:rPr>
        <w:tab/>
      </w:r>
    </w:p>
    <w:p w14:paraId="78F51898" w14:textId="77777777" w:rsidR="00FF263C" w:rsidRPr="00FF263C" w:rsidRDefault="00FF263C" w:rsidP="00FF263C">
      <w:pPr>
        <w:autoSpaceDE w:val="0"/>
        <w:autoSpaceDN w:val="0"/>
        <w:rPr>
          <w:rFonts w:ascii="Arial" w:hAnsi="Arial" w:cs="Arial"/>
          <w:i/>
          <w:sz w:val="22"/>
          <w:szCs w:val="22"/>
        </w:rPr>
      </w:pPr>
      <w:r w:rsidRPr="00FF263C">
        <w:rPr>
          <w:rFonts w:ascii="Arial" w:hAnsi="Arial" w:cs="Arial"/>
          <w:bCs/>
          <w:i/>
          <w:iCs/>
          <w:sz w:val="22"/>
          <w:szCs w:val="22"/>
        </w:rPr>
        <w:t>Systematic characterization of transcriptional variation in retinal development at single cell resolution</w:t>
      </w:r>
    </w:p>
    <w:p w14:paraId="353319F7" w14:textId="7F45ECED" w:rsidR="00FF263C" w:rsidRPr="00FF263C" w:rsidRDefault="00FF263C" w:rsidP="00FF263C">
      <w:pPr>
        <w:rPr>
          <w:rFonts w:ascii="Arial" w:hAnsi="Arial" w:cs="Arial"/>
          <w:sz w:val="22"/>
          <w:szCs w:val="22"/>
        </w:rPr>
      </w:pPr>
      <w:r w:rsidRPr="00FF263C">
        <w:rPr>
          <w:rFonts w:ascii="Arial" w:hAnsi="Arial" w:cs="Arial"/>
          <w:sz w:val="22"/>
          <w:szCs w:val="22"/>
        </w:rPr>
        <w:t>This project aims to comprehensively describe the transcriptional variation and state transitions across the span of mammalian retinal development using single cell RNA-Seq.</w:t>
      </w:r>
      <w:bookmarkStart w:id="0" w:name="_GoBack"/>
      <w:bookmarkEnd w:id="0"/>
    </w:p>
    <w:p w14:paraId="1B4600A4" w14:textId="79C76663" w:rsidR="00AD2703" w:rsidRDefault="0002316D" w:rsidP="00C40DA4">
      <w:pPr>
        <w:pStyle w:val="DataField11pt-Single"/>
        <w:ind w:right="360"/>
        <w:contextualSpacing/>
      </w:pPr>
      <w:r>
        <w:tab/>
      </w:r>
      <w:r>
        <w:tab/>
      </w:r>
      <w:r>
        <w:tab/>
      </w:r>
      <w:r>
        <w:tab/>
      </w:r>
      <w:r>
        <w:tab/>
      </w:r>
      <w:r>
        <w:tab/>
      </w:r>
      <w:r>
        <w:tab/>
      </w:r>
      <w:r>
        <w:tab/>
      </w:r>
      <w:r>
        <w:tab/>
      </w:r>
      <w:r>
        <w:tab/>
      </w:r>
      <w:r>
        <w:tab/>
      </w:r>
      <w:r>
        <w:tab/>
      </w:r>
      <w:r>
        <w:tab/>
      </w:r>
      <w:r>
        <w:tab/>
      </w:r>
    </w:p>
    <w:p w14:paraId="5EEF3DFE" w14:textId="77777777" w:rsidR="004D336B" w:rsidRPr="00160C08" w:rsidRDefault="004D336B" w:rsidP="00AD2703">
      <w:pPr>
        <w:pStyle w:val="DataField11pt-Single"/>
        <w:tabs>
          <w:tab w:val="left" w:pos="10620"/>
        </w:tabs>
        <w:ind w:right="360"/>
        <w:contextualSpacing/>
      </w:pPr>
    </w:p>
    <w:p w14:paraId="67934E52" w14:textId="77777777" w:rsidR="00AD2703" w:rsidRDefault="00AD2703" w:rsidP="00AD2703">
      <w:pPr>
        <w:pStyle w:val="DataField11pt-Single"/>
        <w:tabs>
          <w:tab w:val="left" w:pos="10620"/>
        </w:tabs>
        <w:ind w:right="360"/>
        <w:contextualSpacing/>
        <w:rPr>
          <w:b/>
          <w:u w:val="single"/>
        </w:rPr>
      </w:pPr>
      <w:r w:rsidRPr="00160C08">
        <w:rPr>
          <w:b/>
          <w:u w:val="single"/>
        </w:rPr>
        <w:t>Completed Research Support</w:t>
      </w:r>
    </w:p>
    <w:p w14:paraId="21CC536E" w14:textId="77777777" w:rsidR="004D336B" w:rsidRDefault="004D336B" w:rsidP="004D336B">
      <w:pPr>
        <w:widowControl w:val="0"/>
        <w:tabs>
          <w:tab w:val="left" w:pos="630"/>
          <w:tab w:val="left" w:pos="2880"/>
          <w:tab w:val="left" w:pos="7920"/>
        </w:tabs>
        <w:adjustRightInd w:val="0"/>
        <w:ind w:right="450"/>
        <w:contextualSpacing/>
        <w:jc w:val="both"/>
        <w:rPr>
          <w:rFonts w:cs="Arial"/>
          <w:szCs w:val="20"/>
        </w:rPr>
      </w:pPr>
      <w:r w:rsidRPr="007B7D67">
        <w:rPr>
          <w:rFonts w:cs="Arial"/>
          <w:szCs w:val="20"/>
        </w:rPr>
        <w:t>R01</w:t>
      </w:r>
      <w:r>
        <w:rPr>
          <w:rFonts w:cs="Arial"/>
          <w:szCs w:val="20"/>
        </w:rPr>
        <w:t xml:space="preserve"> </w:t>
      </w:r>
      <w:r w:rsidRPr="007B7D67">
        <w:rPr>
          <w:rFonts w:cs="Arial"/>
          <w:szCs w:val="20"/>
        </w:rPr>
        <w:t>NS078164</w:t>
      </w:r>
      <w:r>
        <w:rPr>
          <w:rFonts w:cs="Arial"/>
          <w:szCs w:val="20"/>
        </w:rPr>
        <w:tab/>
        <w:t>Arlotta(PI)</w:t>
      </w:r>
      <w:r>
        <w:rPr>
          <w:rFonts w:cs="Arial"/>
          <w:szCs w:val="20"/>
        </w:rPr>
        <w:tab/>
        <w:t>07/01/2014-06/30/2015</w:t>
      </w:r>
    </w:p>
    <w:p w14:paraId="36A972D6" w14:textId="77777777" w:rsidR="004D336B" w:rsidRPr="007B7D67" w:rsidRDefault="004D336B" w:rsidP="004D336B">
      <w:pPr>
        <w:widowControl w:val="0"/>
        <w:tabs>
          <w:tab w:val="left" w:pos="630"/>
        </w:tabs>
        <w:adjustRightInd w:val="0"/>
        <w:ind w:right="450"/>
        <w:contextualSpacing/>
        <w:jc w:val="both"/>
        <w:rPr>
          <w:rFonts w:cs="Arial"/>
          <w:szCs w:val="20"/>
        </w:rPr>
      </w:pPr>
      <w:r w:rsidRPr="007B7D67">
        <w:rPr>
          <w:rFonts w:cs="Arial"/>
          <w:i/>
          <w:szCs w:val="20"/>
        </w:rPr>
        <w:t>Projection neuron control over interneuron positioning into neocortical circuitry</w:t>
      </w:r>
    </w:p>
    <w:p w14:paraId="1DA74759" w14:textId="77777777" w:rsidR="004D336B" w:rsidRDefault="004D336B" w:rsidP="004D336B">
      <w:pPr>
        <w:pStyle w:val="DataField11pt-Single"/>
        <w:tabs>
          <w:tab w:val="left" w:pos="630"/>
          <w:tab w:val="left" w:pos="10620"/>
        </w:tabs>
        <w:ind w:right="450"/>
        <w:contextualSpacing/>
      </w:pPr>
      <w:r>
        <w:t>I d</w:t>
      </w:r>
      <w:r w:rsidRPr="007B7D67">
        <w:t>eveloped informatic approach to identify putative cell surface determinants, from differential RNA sequencing data, that facilitate the recruitment and integration of migrating interneurons into specific layers of the developing neocortex.</w:t>
      </w:r>
    </w:p>
    <w:p w14:paraId="3568DF60" w14:textId="77777777" w:rsidR="004D336B" w:rsidRPr="007B7D67" w:rsidRDefault="004D336B" w:rsidP="004D336B">
      <w:pPr>
        <w:pStyle w:val="DataField11pt-Single"/>
        <w:tabs>
          <w:tab w:val="left" w:pos="630"/>
          <w:tab w:val="left" w:pos="10620"/>
        </w:tabs>
        <w:ind w:right="450"/>
        <w:contextualSpacing/>
        <w:rPr>
          <w:b/>
          <w:bCs/>
        </w:rPr>
      </w:pPr>
      <w:r>
        <w:t>Role: Postdoctoral Fellow</w:t>
      </w:r>
    </w:p>
    <w:p w14:paraId="47FF221B" w14:textId="77777777" w:rsidR="004D336B" w:rsidRDefault="004D336B" w:rsidP="00AD2703">
      <w:pPr>
        <w:pStyle w:val="DataField11pt-Single"/>
        <w:tabs>
          <w:tab w:val="left" w:pos="10620"/>
        </w:tabs>
        <w:ind w:right="360"/>
        <w:contextualSpacing/>
        <w:rPr>
          <w:b/>
          <w:u w:val="single"/>
        </w:rPr>
      </w:pPr>
    </w:p>
    <w:p w14:paraId="265EB22F" w14:textId="709FC2EC" w:rsidR="00AD2703" w:rsidRDefault="00AD2703" w:rsidP="00D46B20">
      <w:pPr>
        <w:pStyle w:val="DataField11pt-Single"/>
        <w:tabs>
          <w:tab w:val="left" w:pos="2880"/>
          <w:tab w:val="left" w:pos="7920"/>
        </w:tabs>
        <w:ind w:right="360"/>
        <w:contextualSpacing/>
      </w:pPr>
      <w:r w:rsidRPr="007B7D67">
        <w:lastRenderedPageBreak/>
        <w:t>R01</w:t>
      </w:r>
      <w:r>
        <w:t xml:space="preserve"> </w:t>
      </w:r>
      <w:r w:rsidRPr="007B7D67">
        <w:t>MH1</w:t>
      </w:r>
      <w:r>
        <w:t>02416</w:t>
      </w:r>
      <w:r w:rsidRPr="007B7D67">
        <w:t xml:space="preserve"> </w:t>
      </w:r>
      <w:r>
        <w:tab/>
        <w:t>Rinn(PI)</w:t>
      </w:r>
      <w:r w:rsidR="00D46B20">
        <w:tab/>
      </w:r>
      <w:r w:rsidR="00DF4B92">
        <w:t>01/01/2014-12/31/201</w:t>
      </w:r>
      <w:r w:rsidR="004660DC">
        <w:t>6</w:t>
      </w:r>
      <w:r>
        <w:t xml:space="preserve"> </w:t>
      </w:r>
    </w:p>
    <w:p w14:paraId="19308937" w14:textId="19E678D0" w:rsidR="00AD2703" w:rsidRPr="007B7D67" w:rsidRDefault="00AD2703" w:rsidP="00AD2703">
      <w:pPr>
        <w:pStyle w:val="DataField11pt-Single"/>
        <w:ind w:right="360"/>
        <w:contextualSpacing/>
      </w:pPr>
      <w:r w:rsidRPr="007B7D67">
        <w:rPr>
          <w:i/>
        </w:rPr>
        <w:t>Functional Roles of Long Noncoding RNAs During Neuronal Development</w:t>
      </w:r>
    </w:p>
    <w:p w14:paraId="6404F28A" w14:textId="4CC75676" w:rsidR="00AD2703" w:rsidRDefault="00AD2703" w:rsidP="00AD2703">
      <w:pPr>
        <w:widowControl w:val="0"/>
        <w:tabs>
          <w:tab w:val="left" w:pos="7560"/>
          <w:tab w:val="left" w:pos="9000"/>
        </w:tabs>
        <w:adjustRightInd w:val="0"/>
        <w:ind w:right="450"/>
        <w:contextualSpacing/>
        <w:jc w:val="both"/>
        <w:rPr>
          <w:rFonts w:cs="Arial"/>
          <w:szCs w:val="20"/>
        </w:rPr>
      </w:pPr>
      <w:r>
        <w:rPr>
          <w:rFonts w:cs="Arial"/>
          <w:szCs w:val="20"/>
        </w:rPr>
        <w:t>I am the c</w:t>
      </w:r>
      <w:r w:rsidRPr="007B7D67">
        <w:rPr>
          <w:rFonts w:cs="Arial"/>
          <w:szCs w:val="20"/>
        </w:rPr>
        <w:t xml:space="preserve">o-author of </w:t>
      </w:r>
      <w:r>
        <w:rPr>
          <w:rFonts w:cs="Arial"/>
          <w:szCs w:val="20"/>
        </w:rPr>
        <w:t xml:space="preserve">the </w:t>
      </w:r>
      <w:r w:rsidRPr="007B7D67">
        <w:rPr>
          <w:rFonts w:cs="Arial"/>
          <w:szCs w:val="20"/>
        </w:rPr>
        <w:t xml:space="preserve">grant proposal and responsible for experimental design, candidate lincRNA selection, and preliminary characterization of neuronal lincRNAs. </w:t>
      </w:r>
      <w:r w:rsidR="00417D6D">
        <w:rPr>
          <w:rFonts w:cs="Arial"/>
          <w:szCs w:val="20"/>
        </w:rPr>
        <w:t>However, my involvement with this particular award ended once my postdoctoral fellowship concluded.</w:t>
      </w:r>
    </w:p>
    <w:p w14:paraId="18DE6D44" w14:textId="695EB39D" w:rsidR="00AD2703" w:rsidRDefault="00AD2703" w:rsidP="00AD2703">
      <w:pPr>
        <w:widowControl w:val="0"/>
        <w:tabs>
          <w:tab w:val="left" w:pos="7560"/>
          <w:tab w:val="left" w:pos="9000"/>
        </w:tabs>
        <w:adjustRightInd w:val="0"/>
        <w:ind w:right="450"/>
        <w:contextualSpacing/>
        <w:jc w:val="both"/>
        <w:rPr>
          <w:rFonts w:cs="Arial"/>
          <w:szCs w:val="20"/>
        </w:rPr>
      </w:pPr>
      <w:r>
        <w:rPr>
          <w:rFonts w:cs="Arial"/>
          <w:szCs w:val="20"/>
        </w:rPr>
        <w:t>Role: Postdoctoral Fellow</w:t>
      </w:r>
    </w:p>
    <w:p w14:paraId="28128400" w14:textId="77777777" w:rsidR="00AD2703" w:rsidRPr="00A57DE7" w:rsidRDefault="00AD2703" w:rsidP="00AD2703">
      <w:pPr>
        <w:widowControl w:val="0"/>
        <w:tabs>
          <w:tab w:val="left" w:pos="7560"/>
          <w:tab w:val="left" w:pos="9000"/>
        </w:tabs>
        <w:adjustRightInd w:val="0"/>
        <w:ind w:right="450"/>
        <w:contextualSpacing/>
        <w:jc w:val="both"/>
        <w:rPr>
          <w:rFonts w:cs="Arial"/>
          <w:szCs w:val="20"/>
        </w:rPr>
      </w:pPr>
    </w:p>
    <w:p w14:paraId="5E2A1C16" w14:textId="6AD5734F" w:rsidR="00AD2703" w:rsidRDefault="00AD2703" w:rsidP="006F1C32">
      <w:pPr>
        <w:pStyle w:val="DataField11pt-Single"/>
        <w:tabs>
          <w:tab w:val="left" w:pos="630"/>
          <w:tab w:val="left" w:pos="2880"/>
          <w:tab w:val="left" w:pos="7920"/>
        </w:tabs>
        <w:ind w:right="360"/>
        <w:contextualSpacing/>
      </w:pPr>
      <w:r w:rsidRPr="00160C08">
        <w:t>0905973</w:t>
      </w:r>
      <w:r w:rsidR="006F1C32">
        <w:tab/>
      </w:r>
      <w:r>
        <w:t>Goff(Fellow)</w:t>
      </w:r>
      <w:r w:rsidR="006F1C32">
        <w:tab/>
      </w:r>
      <w:r w:rsidR="00DF4B92">
        <w:t>08/01/2009</w:t>
      </w:r>
      <w:r w:rsidR="004956E6">
        <w:t>-7/31/2011</w:t>
      </w:r>
    </w:p>
    <w:p w14:paraId="2CD98DFF" w14:textId="10846F6E" w:rsidR="00AD2703" w:rsidRPr="007B7D67" w:rsidRDefault="00AD2703" w:rsidP="00AD2703">
      <w:pPr>
        <w:pStyle w:val="DataField11pt-Single"/>
        <w:tabs>
          <w:tab w:val="left" w:pos="630"/>
        </w:tabs>
        <w:ind w:right="360"/>
        <w:contextualSpacing/>
      </w:pPr>
      <w:r w:rsidRPr="00160C08">
        <w:t>NSF Postdoctoral Resear</w:t>
      </w:r>
      <w:r>
        <w:t>ch Fellowship in Biology for FY</w:t>
      </w:r>
      <w:r w:rsidRPr="00160C08">
        <w:t>2009 – 0905973</w:t>
      </w:r>
    </w:p>
    <w:p w14:paraId="5BB370EC" w14:textId="77777777" w:rsidR="00AD2703" w:rsidRDefault="00AD2703" w:rsidP="00AD2703">
      <w:pPr>
        <w:widowControl w:val="0"/>
        <w:tabs>
          <w:tab w:val="left" w:pos="630"/>
          <w:tab w:val="left" w:pos="7560"/>
        </w:tabs>
        <w:adjustRightInd w:val="0"/>
        <w:ind w:right="450"/>
        <w:contextualSpacing/>
        <w:jc w:val="both"/>
        <w:rPr>
          <w:rFonts w:cs="Arial"/>
          <w:szCs w:val="20"/>
        </w:rPr>
      </w:pPr>
    </w:p>
    <w:p w14:paraId="4BB18599" w14:textId="4BD0A9F6" w:rsidR="00AD2703" w:rsidRDefault="00AD2703" w:rsidP="006F1C32">
      <w:pPr>
        <w:widowControl w:val="0"/>
        <w:tabs>
          <w:tab w:val="left" w:pos="630"/>
          <w:tab w:val="left" w:pos="2880"/>
          <w:tab w:val="left" w:pos="7920"/>
        </w:tabs>
        <w:adjustRightInd w:val="0"/>
        <w:ind w:right="450"/>
        <w:contextualSpacing/>
        <w:jc w:val="both"/>
        <w:rPr>
          <w:rFonts w:cs="Arial"/>
          <w:szCs w:val="20"/>
        </w:rPr>
      </w:pPr>
      <w:r w:rsidRPr="007B7D67">
        <w:rPr>
          <w:rFonts w:cs="Arial"/>
          <w:szCs w:val="20"/>
        </w:rPr>
        <w:t>RC1</w:t>
      </w:r>
      <w:r>
        <w:rPr>
          <w:rFonts w:cs="Arial"/>
          <w:szCs w:val="20"/>
        </w:rPr>
        <w:t xml:space="preserve"> </w:t>
      </w:r>
      <w:r w:rsidR="006F1C32">
        <w:rPr>
          <w:rFonts w:cs="Arial"/>
          <w:szCs w:val="20"/>
        </w:rPr>
        <w:t>CA147187</w:t>
      </w:r>
      <w:r w:rsidR="006F1C32">
        <w:rPr>
          <w:rFonts w:cs="Arial"/>
          <w:szCs w:val="20"/>
        </w:rPr>
        <w:tab/>
      </w:r>
      <w:r>
        <w:rPr>
          <w:rFonts w:cs="Arial"/>
          <w:szCs w:val="20"/>
        </w:rPr>
        <w:t>Hart(PI)</w:t>
      </w:r>
      <w:r w:rsidR="006F1C32">
        <w:rPr>
          <w:rFonts w:cs="Arial"/>
          <w:szCs w:val="20"/>
        </w:rPr>
        <w:tab/>
      </w:r>
      <w:r w:rsidR="004956E6">
        <w:rPr>
          <w:rFonts w:cs="Arial"/>
          <w:szCs w:val="20"/>
        </w:rPr>
        <w:t>03/24/2010-02/28/2012</w:t>
      </w:r>
    </w:p>
    <w:p w14:paraId="31293EC3" w14:textId="745F2156" w:rsidR="00AD2703" w:rsidRPr="007B7D67" w:rsidRDefault="00AD2703" w:rsidP="00AD2703">
      <w:pPr>
        <w:widowControl w:val="0"/>
        <w:tabs>
          <w:tab w:val="left" w:pos="630"/>
        </w:tabs>
        <w:adjustRightInd w:val="0"/>
        <w:ind w:right="450"/>
        <w:contextualSpacing/>
        <w:jc w:val="both"/>
        <w:rPr>
          <w:rFonts w:cs="Arial"/>
          <w:szCs w:val="20"/>
        </w:rPr>
      </w:pPr>
      <w:r w:rsidRPr="007B7D67">
        <w:rPr>
          <w:rFonts w:cs="Arial"/>
          <w:i/>
          <w:szCs w:val="20"/>
        </w:rPr>
        <w:t>Genome-wide chromatin modification targeting by endogenous small RNAs</w:t>
      </w:r>
    </w:p>
    <w:p w14:paraId="052F294D" w14:textId="4B55452B" w:rsidR="00AD2703" w:rsidRDefault="00AD2703" w:rsidP="00AD2703">
      <w:pPr>
        <w:widowControl w:val="0"/>
        <w:tabs>
          <w:tab w:val="left" w:pos="630"/>
          <w:tab w:val="left" w:pos="7560"/>
          <w:tab w:val="left" w:pos="9000"/>
        </w:tabs>
        <w:adjustRightInd w:val="0"/>
        <w:ind w:right="450"/>
        <w:contextualSpacing/>
        <w:jc w:val="both"/>
        <w:rPr>
          <w:rFonts w:cs="Arial"/>
          <w:szCs w:val="20"/>
        </w:rPr>
      </w:pPr>
      <w:r>
        <w:rPr>
          <w:rFonts w:cs="Arial"/>
          <w:szCs w:val="20"/>
        </w:rPr>
        <w:t>I was the p</w:t>
      </w:r>
      <w:r w:rsidRPr="007B7D67">
        <w:rPr>
          <w:rFonts w:cs="Arial"/>
          <w:szCs w:val="20"/>
        </w:rPr>
        <w:t xml:space="preserve">rinciple author of </w:t>
      </w:r>
      <w:r>
        <w:rPr>
          <w:rFonts w:cs="Arial"/>
          <w:szCs w:val="20"/>
        </w:rPr>
        <w:t xml:space="preserve">the </w:t>
      </w:r>
      <w:r w:rsidRPr="007B7D67">
        <w:rPr>
          <w:rFonts w:cs="Arial"/>
          <w:szCs w:val="20"/>
        </w:rPr>
        <w:t>grant proposal and responsible for experimental design and integrative analysis of small RNA RIP-Seq data from human embryonic and neural stem cells with thermodynamically favorable target site predictions in the promoters of differentially regulated genes.</w:t>
      </w:r>
    </w:p>
    <w:p w14:paraId="214B7035" w14:textId="661C5A7F" w:rsidR="00AD2703" w:rsidRPr="00293F07" w:rsidRDefault="00AD2703" w:rsidP="00AD2703">
      <w:pPr>
        <w:widowControl w:val="0"/>
        <w:tabs>
          <w:tab w:val="left" w:pos="630"/>
          <w:tab w:val="left" w:pos="7560"/>
          <w:tab w:val="left" w:pos="9000"/>
        </w:tabs>
        <w:adjustRightInd w:val="0"/>
        <w:ind w:right="450"/>
        <w:contextualSpacing/>
        <w:jc w:val="both"/>
        <w:rPr>
          <w:rFonts w:cs="Arial"/>
          <w:szCs w:val="20"/>
        </w:rPr>
      </w:pPr>
      <w:r>
        <w:rPr>
          <w:rFonts w:cs="Arial"/>
          <w:szCs w:val="20"/>
        </w:rPr>
        <w:t>Role: Postdoctoral Fellow</w:t>
      </w:r>
    </w:p>
    <w:sectPr w:rsidR="00AD2703" w:rsidRPr="00293F07"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9854F" w14:textId="77777777" w:rsidR="00476C17" w:rsidRDefault="00476C17">
      <w:r>
        <w:separator/>
      </w:r>
    </w:p>
  </w:endnote>
  <w:endnote w:type="continuationSeparator" w:id="0">
    <w:p w14:paraId="71B27C78" w14:textId="77777777" w:rsidR="00476C17" w:rsidRDefault="0047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charset w:val="00"/>
    <w:family w:val="swiss"/>
    <w:pitch w:val="variable"/>
    <w:sig w:usb0="E10022FF" w:usb1="C000E47F" w:usb2="00000029"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3AC58" w14:textId="77777777" w:rsidR="00DF4B92" w:rsidRDefault="00DF4B9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C554" w14:textId="7ED08294" w:rsidR="00DF4B92" w:rsidRPr="00321A19" w:rsidRDefault="00DF4B92" w:rsidP="00321A1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4A0F" w14:textId="77777777" w:rsidR="00DF4B92" w:rsidRDefault="00DF4B9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CAEBE" w14:textId="77777777" w:rsidR="00476C17" w:rsidRDefault="00476C17">
      <w:r>
        <w:separator/>
      </w:r>
    </w:p>
  </w:footnote>
  <w:footnote w:type="continuationSeparator" w:id="0">
    <w:p w14:paraId="5170FF0E" w14:textId="77777777" w:rsidR="00476C17" w:rsidRDefault="00476C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564A3" w14:textId="77777777" w:rsidR="00DF4B92" w:rsidRDefault="00DF4B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723EE27C" w:rsidR="00DF4B92" w:rsidRDefault="00DF4B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220D2" w14:textId="77777777" w:rsidR="00DF4B92" w:rsidRDefault="00DF4B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4146672"/>
    <w:multiLevelType w:val="hybridMultilevel"/>
    <w:tmpl w:val="8C063492"/>
    <w:lvl w:ilvl="0" w:tplc="15E2D9DC">
      <w:start w:val="2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C14688"/>
    <w:multiLevelType w:val="hybridMultilevel"/>
    <w:tmpl w:val="08BA4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54674F"/>
    <w:multiLevelType w:val="hybridMultilevel"/>
    <w:tmpl w:val="3B5C84B8"/>
    <w:lvl w:ilvl="0" w:tplc="2ADEFCFC">
      <w:start w:val="1"/>
      <w:numFmt w:val="lowerLetter"/>
      <w:lvlText w:val="%1."/>
      <w:lvlJc w:val="left"/>
      <w:pPr>
        <w:ind w:left="1080" w:hanging="36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B83AF8"/>
    <w:multiLevelType w:val="hybridMultilevel"/>
    <w:tmpl w:val="90466DF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3">
    <w:nsid w:val="78BA5022"/>
    <w:multiLevelType w:val="hybridMultilevel"/>
    <w:tmpl w:val="81DC3BE8"/>
    <w:lvl w:ilvl="0" w:tplc="7D3857B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E36FF1"/>
    <w:multiLevelType w:val="hybridMultilevel"/>
    <w:tmpl w:val="8A92A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8"/>
  </w:num>
  <w:num w:numId="13">
    <w:abstractNumId w:val="11"/>
  </w:num>
  <w:num w:numId="14">
    <w:abstractNumId w:val="22"/>
  </w:num>
  <w:num w:numId="15">
    <w:abstractNumId w:val="19"/>
  </w:num>
  <w:num w:numId="16">
    <w:abstractNumId w:val="21"/>
  </w:num>
  <w:num w:numId="17">
    <w:abstractNumId w:val="10"/>
  </w:num>
  <w:num w:numId="18">
    <w:abstractNumId w:val="14"/>
  </w:num>
  <w:num w:numId="19">
    <w:abstractNumId w:val="13"/>
  </w:num>
  <w:num w:numId="20">
    <w:abstractNumId w:val="16"/>
  </w:num>
  <w:num w:numId="21">
    <w:abstractNumId w:val="23"/>
  </w:num>
  <w:num w:numId="22">
    <w:abstractNumId w:val="12"/>
  </w:num>
  <w:num w:numId="23">
    <w:abstractNumId w:val="24"/>
  </w:num>
  <w:num w:numId="24">
    <w:abstractNumId w:val="17"/>
  </w:num>
  <w:num w:numId="25">
    <w:abstractNumId w:val="2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035B"/>
    <w:rsid w:val="0002316D"/>
    <w:rsid w:val="00023A7A"/>
    <w:rsid w:val="000464BA"/>
    <w:rsid w:val="00067621"/>
    <w:rsid w:val="000772A1"/>
    <w:rsid w:val="00092722"/>
    <w:rsid w:val="000970CF"/>
    <w:rsid w:val="00122EB3"/>
    <w:rsid w:val="00132CA6"/>
    <w:rsid w:val="0014571A"/>
    <w:rsid w:val="00152FCA"/>
    <w:rsid w:val="001550A0"/>
    <w:rsid w:val="00170D87"/>
    <w:rsid w:val="00175D3A"/>
    <w:rsid w:val="00177D49"/>
    <w:rsid w:val="001A5FEB"/>
    <w:rsid w:val="001D3700"/>
    <w:rsid w:val="001E23B7"/>
    <w:rsid w:val="00240E97"/>
    <w:rsid w:val="00241711"/>
    <w:rsid w:val="00251B48"/>
    <w:rsid w:val="00252E42"/>
    <w:rsid w:val="00271AF9"/>
    <w:rsid w:val="0028051C"/>
    <w:rsid w:val="00280656"/>
    <w:rsid w:val="002D7520"/>
    <w:rsid w:val="002E5125"/>
    <w:rsid w:val="00321A19"/>
    <w:rsid w:val="00330111"/>
    <w:rsid w:val="0034355D"/>
    <w:rsid w:val="0035045F"/>
    <w:rsid w:val="0037667F"/>
    <w:rsid w:val="00382AB6"/>
    <w:rsid w:val="00383712"/>
    <w:rsid w:val="0039212C"/>
    <w:rsid w:val="003A1727"/>
    <w:rsid w:val="003A769E"/>
    <w:rsid w:val="003C2647"/>
    <w:rsid w:val="003C62D6"/>
    <w:rsid w:val="003D2399"/>
    <w:rsid w:val="003E1568"/>
    <w:rsid w:val="003F6A45"/>
    <w:rsid w:val="00403625"/>
    <w:rsid w:val="00417D6D"/>
    <w:rsid w:val="00432346"/>
    <w:rsid w:val="00446958"/>
    <w:rsid w:val="00447F3A"/>
    <w:rsid w:val="00462D3C"/>
    <w:rsid w:val="004660DC"/>
    <w:rsid w:val="004759D9"/>
    <w:rsid w:val="00476C17"/>
    <w:rsid w:val="0049068A"/>
    <w:rsid w:val="004956E6"/>
    <w:rsid w:val="004A09F9"/>
    <w:rsid w:val="004A3FC8"/>
    <w:rsid w:val="004D336B"/>
    <w:rsid w:val="004D4AC4"/>
    <w:rsid w:val="004D76CC"/>
    <w:rsid w:val="004F075A"/>
    <w:rsid w:val="00503A1D"/>
    <w:rsid w:val="00503B57"/>
    <w:rsid w:val="005139D8"/>
    <w:rsid w:val="005145BB"/>
    <w:rsid w:val="00517BFD"/>
    <w:rsid w:val="00530D7F"/>
    <w:rsid w:val="0054471F"/>
    <w:rsid w:val="00547AC9"/>
    <w:rsid w:val="00580DD3"/>
    <w:rsid w:val="00592740"/>
    <w:rsid w:val="005C2BDD"/>
    <w:rsid w:val="005C47A8"/>
    <w:rsid w:val="005D1BCD"/>
    <w:rsid w:val="005E406E"/>
    <w:rsid w:val="005F5F51"/>
    <w:rsid w:val="00601C69"/>
    <w:rsid w:val="00616BCC"/>
    <w:rsid w:val="00624261"/>
    <w:rsid w:val="006433CD"/>
    <w:rsid w:val="00646AF9"/>
    <w:rsid w:val="00650611"/>
    <w:rsid w:val="006609B6"/>
    <w:rsid w:val="00686252"/>
    <w:rsid w:val="0068699D"/>
    <w:rsid w:val="006937F5"/>
    <w:rsid w:val="006A353C"/>
    <w:rsid w:val="006A56FC"/>
    <w:rsid w:val="006B1E9D"/>
    <w:rsid w:val="006B2D1C"/>
    <w:rsid w:val="006B50E9"/>
    <w:rsid w:val="006C1E1F"/>
    <w:rsid w:val="006F1C32"/>
    <w:rsid w:val="007050F5"/>
    <w:rsid w:val="0071060C"/>
    <w:rsid w:val="0071140F"/>
    <w:rsid w:val="00717E9C"/>
    <w:rsid w:val="00722C8F"/>
    <w:rsid w:val="00781234"/>
    <w:rsid w:val="007842B3"/>
    <w:rsid w:val="007A1B47"/>
    <w:rsid w:val="007A2E5A"/>
    <w:rsid w:val="007B7AF3"/>
    <w:rsid w:val="007E4FF9"/>
    <w:rsid w:val="008073EB"/>
    <w:rsid w:val="00812185"/>
    <w:rsid w:val="00817055"/>
    <w:rsid w:val="00843027"/>
    <w:rsid w:val="00874EBC"/>
    <w:rsid w:val="008B505B"/>
    <w:rsid w:val="008C7337"/>
    <w:rsid w:val="009054EA"/>
    <w:rsid w:val="009153BC"/>
    <w:rsid w:val="009211D3"/>
    <w:rsid w:val="00934124"/>
    <w:rsid w:val="00952A27"/>
    <w:rsid w:val="009D7E97"/>
    <w:rsid w:val="009E52CA"/>
    <w:rsid w:val="009F5ED4"/>
    <w:rsid w:val="009F72E5"/>
    <w:rsid w:val="00A04942"/>
    <w:rsid w:val="00A04B52"/>
    <w:rsid w:val="00A1469B"/>
    <w:rsid w:val="00A14EF5"/>
    <w:rsid w:val="00A26D0F"/>
    <w:rsid w:val="00A42D9B"/>
    <w:rsid w:val="00A7514C"/>
    <w:rsid w:val="00A8122C"/>
    <w:rsid w:val="00A83312"/>
    <w:rsid w:val="00A93453"/>
    <w:rsid w:val="00AA7810"/>
    <w:rsid w:val="00AD2703"/>
    <w:rsid w:val="00AD4856"/>
    <w:rsid w:val="00AE41C4"/>
    <w:rsid w:val="00AE686E"/>
    <w:rsid w:val="00AF513E"/>
    <w:rsid w:val="00B42C60"/>
    <w:rsid w:val="00B53434"/>
    <w:rsid w:val="00B929F5"/>
    <w:rsid w:val="00BC021E"/>
    <w:rsid w:val="00BC4D3B"/>
    <w:rsid w:val="00BF73A3"/>
    <w:rsid w:val="00C00F42"/>
    <w:rsid w:val="00C05C55"/>
    <w:rsid w:val="00C076C6"/>
    <w:rsid w:val="00C07C83"/>
    <w:rsid w:val="00C10718"/>
    <w:rsid w:val="00C137DA"/>
    <w:rsid w:val="00C3113F"/>
    <w:rsid w:val="00C40DA4"/>
    <w:rsid w:val="00C4536F"/>
    <w:rsid w:val="00C46ADA"/>
    <w:rsid w:val="00C4739B"/>
    <w:rsid w:val="00C56C04"/>
    <w:rsid w:val="00C85025"/>
    <w:rsid w:val="00C9171D"/>
    <w:rsid w:val="00C918BD"/>
    <w:rsid w:val="00CA680A"/>
    <w:rsid w:val="00CB02E3"/>
    <w:rsid w:val="00CE0951"/>
    <w:rsid w:val="00CF68A2"/>
    <w:rsid w:val="00D00C0B"/>
    <w:rsid w:val="00D11D00"/>
    <w:rsid w:val="00D44CE6"/>
    <w:rsid w:val="00D46B20"/>
    <w:rsid w:val="00D54BF6"/>
    <w:rsid w:val="00D63067"/>
    <w:rsid w:val="00D65F8E"/>
    <w:rsid w:val="00D679E5"/>
    <w:rsid w:val="00D74391"/>
    <w:rsid w:val="00D825A1"/>
    <w:rsid w:val="00D83360"/>
    <w:rsid w:val="00DB7B85"/>
    <w:rsid w:val="00DD31B4"/>
    <w:rsid w:val="00DF4B92"/>
    <w:rsid w:val="00DF7645"/>
    <w:rsid w:val="00E00225"/>
    <w:rsid w:val="00E127A1"/>
    <w:rsid w:val="00E355C2"/>
    <w:rsid w:val="00E37E57"/>
    <w:rsid w:val="00E52099"/>
    <w:rsid w:val="00E53B95"/>
    <w:rsid w:val="00E563A5"/>
    <w:rsid w:val="00E67A05"/>
    <w:rsid w:val="00E74AB7"/>
    <w:rsid w:val="00E81E2D"/>
    <w:rsid w:val="00E81FE1"/>
    <w:rsid w:val="00E90203"/>
    <w:rsid w:val="00EA0405"/>
    <w:rsid w:val="00ED213A"/>
    <w:rsid w:val="00EE4C58"/>
    <w:rsid w:val="00EF4C32"/>
    <w:rsid w:val="00EF69CD"/>
    <w:rsid w:val="00F02126"/>
    <w:rsid w:val="00F07AB3"/>
    <w:rsid w:val="00F1772F"/>
    <w:rsid w:val="00F262AB"/>
    <w:rsid w:val="00F64AEE"/>
    <w:rsid w:val="00F7284D"/>
    <w:rsid w:val="00FA00C6"/>
    <w:rsid w:val="00FA6EB3"/>
    <w:rsid w:val="00FD06A0"/>
    <w:rsid w:val="00FF1D5B"/>
    <w:rsid w:val="00FF263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F263C"/>
    <w:rPr>
      <w:sz w:val="24"/>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autoSpaceDE w:val="0"/>
      <w:autoSpaceDN w:val="0"/>
    </w:pPr>
    <w:rPr>
      <w:rFonts w:ascii="Times" w:hAnsi="Times" w:cs="Times"/>
      <w:sz w:val="22"/>
    </w:rPr>
  </w:style>
  <w:style w:type="paragraph" w:styleId="ListBullet2">
    <w:name w:val="List Bullet 2"/>
    <w:basedOn w:val="Normal"/>
    <w:autoRedefine/>
    <w:pPr>
      <w:numPr>
        <w:numId w:val="2"/>
      </w:numPr>
      <w:autoSpaceDE w:val="0"/>
      <w:autoSpaceDN w:val="0"/>
    </w:pPr>
    <w:rPr>
      <w:rFonts w:ascii="Times" w:hAnsi="Times" w:cs="Times"/>
      <w:sz w:val="22"/>
    </w:rPr>
  </w:style>
  <w:style w:type="paragraph" w:styleId="ListBullet3">
    <w:name w:val="List Bullet 3"/>
    <w:basedOn w:val="Normal"/>
    <w:autoRedefine/>
    <w:pPr>
      <w:numPr>
        <w:numId w:val="3"/>
      </w:numPr>
      <w:autoSpaceDE w:val="0"/>
      <w:autoSpaceDN w:val="0"/>
    </w:pPr>
    <w:rPr>
      <w:rFonts w:ascii="Times" w:hAnsi="Times" w:cs="Times"/>
      <w:sz w:val="22"/>
    </w:rPr>
  </w:style>
  <w:style w:type="paragraph" w:styleId="ListBullet4">
    <w:name w:val="List Bullet 4"/>
    <w:basedOn w:val="Normal"/>
    <w:autoRedefine/>
    <w:pPr>
      <w:numPr>
        <w:numId w:val="4"/>
      </w:numPr>
      <w:autoSpaceDE w:val="0"/>
      <w:autoSpaceDN w:val="0"/>
    </w:pPr>
    <w:rPr>
      <w:rFonts w:ascii="Times" w:hAnsi="Times" w:cs="Times"/>
      <w:sz w:val="22"/>
    </w:rPr>
  </w:style>
  <w:style w:type="paragraph" w:styleId="ListBullet5">
    <w:name w:val="List Bullet 5"/>
    <w:basedOn w:val="Normal"/>
    <w:autoRedefine/>
    <w:pPr>
      <w:numPr>
        <w:numId w:val="5"/>
      </w:numPr>
      <w:autoSpaceDE w:val="0"/>
      <w:autoSpaceDN w:val="0"/>
    </w:pPr>
    <w:rPr>
      <w:rFonts w:ascii="Times" w:hAnsi="Times" w:cs="Times"/>
      <w:sz w:val="22"/>
    </w:rPr>
  </w:style>
  <w:style w:type="paragraph" w:styleId="ListNumber">
    <w:name w:val="List Number"/>
    <w:basedOn w:val="Normal"/>
    <w:pPr>
      <w:numPr>
        <w:numId w:val="6"/>
      </w:numPr>
      <w:autoSpaceDE w:val="0"/>
      <w:autoSpaceDN w:val="0"/>
    </w:pPr>
    <w:rPr>
      <w:rFonts w:ascii="Times" w:hAnsi="Times" w:cs="Times"/>
      <w:sz w:val="22"/>
    </w:rPr>
  </w:style>
  <w:style w:type="paragraph" w:styleId="ListNumber2">
    <w:name w:val="List Number 2"/>
    <w:basedOn w:val="Normal"/>
    <w:pPr>
      <w:numPr>
        <w:numId w:val="7"/>
      </w:numPr>
      <w:autoSpaceDE w:val="0"/>
      <w:autoSpaceDN w:val="0"/>
    </w:pPr>
    <w:rPr>
      <w:rFonts w:ascii="Times" w:hAnsi="Times" w:cs="Times"/>
      <w:sz w:val="22"/>
    </w:rPr>
  </w:style>
  <w:style w:type="paragraph" w:styleId="ListNumber3">
    <w:name w:val="List Number 3"/>
    <w:basedOn w:val="Normal"/>
    <w:pPr>
      <w:numPr>
        <w:numId w:val="8"/>
      </w:numPr>
      <w:autoSpaceDE w:val="0"/>
      <w:autoSpaceDN w:val="0"/>
    </w:pPr>
    <w:rPr>
      <w:rFonts w:ascii="Times" w:hAnsi="Times" w:cs="Times"/>
      <w:sz w:val="22"/>
    </w:rPr>
  </w:style>
  <w:style w:type="paragraph" w:styleId="ListNumber4">
    <w:name w:val="List Number 4"/>
    <w:basedOn w:val="Normal"/>
    <w:pPr>
      <w:numPr>
        <w:numId w:val="9"/>
      </w:numPr>
      <w:autoSpaceDE w:val="0"/>
      <w:autoSpaceDN w:val="0"/>
    </w:pPr>
    <w:rPr>
      <w:rFonts w:ascii="Times" w:hAnsi="Times" w:cs="Times"/>
      <w:sz w:val="22"/>
    </w:rPr>
  </w:style>
  <w:style w:type="paragraph" w:styleId="ListNumber5">
    <w:name w:val="List Number 5"/>
    <w:basedOn w:val="Normal"/>
    <w:pPr>
      <w:numPr>
        <w:numId w:val="10"/>
      </w:numPr>
      <w:autoSpaceDE w:val="0"/>
      <w:autoSpaceDN w:val="0"/>
    </w:pPr>
    <w:rPr>
      <w:rFonts w:ascii="Times" w:hAnsi="Times" w:cs="Times"/>
      <w:sz w:val="22"/>
    </w:rPr>
  </w:style>
  <w:style w:type="paragraph" w:styleId="BodyTextIndent">
    <w:name w:val="Body Text Indent"/>
    <w:basedOn w:val="Normal"/>
    <w:link w:val="BodyTextIndentChar"/>
    <w:pPr>
      <w:autoSpaceDE w:val="0"/>
      <w:autoSpaceDN w:val="0"/>
      <w:ind w:left="720"/>
      <w:jc w:val="both"/>
    </w:pPr>
    <w:rPr>
      <w:rFonts w:ascii="Arial" w:hAnsi="Arial"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spacing w:before="100" w:beforeAutospacing="1" w:after="100" w:afterAutospacing="1"/>
    </w:pPr>
    <w:rPr>
      <w:rFonts w:ascii="Arial" w:eastAsia="Arial Unicode MS" w:hAnsi="Arial"/>
      <w:sz w:val="22"/>
    </w:rPr>
  </w:style>
  <w:style w:type="paragraph" w:styleId="Header">
    <w:name w:val="header"/>
    <w:basedOn w:val="Normal"/>
    <w:pPr>
      <w:tabs>
        <w:tab w:val="center" w:pos="4320"/>
        <w:tab w:val="right" w:pos="8640"/>
      </w:tabs>
      <w:autoSpaceDE w:val="0"/>
      <w:autoSpaceDN w:val="0"/>
    </w:pPr>
    <w:rPr>
      <w:rFonts w:ascii="Arial" w:hAnsi="Arial"/>
      <w:sz w:val="22"/>
    </w:rPr>
  </w:style>
  <w:style w:type="paragraph" w:customStyle="1" w:styleId="DataField11pt-Single">
    <w:name w:val="Data Field 11pt-Single"/>
    <w:basedOn w:val="Normal"/>
    <w:link w:val="DataField11pt-SingleChar"/>
    <w:rsid w:val="00CF68A2"/>
    <w:pPr>
      <w:autoSpaceDE w:val="0"/>
      <w:autoSpaceDN w:val="0"/>
    </w:pPr>
    <w:rPr>
      <w:rFonts w:ascii="Arial" w:hAnsi="Arial" w:cs="Arial"/>
      <w:sz w:val="22"/>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autoSpaceDE w:val="0"/>
      <w:autoSpaceDN w:val="0"/>
      <w:spacing w:before="40" w:after="40"/>
      <w:jc w:val="center"/>
    </w:pPr>
    <w:rPr>
      <w:rFonts w:ascii="Arial" w:hAnsi="Arial" w:cs="Arial"/>
      <w:iCs/>
      <w:sz w:val="16"/>
      <w:szCs w:val="16"/>
    </w:rPr>
  </w:style>
  <w:style w:type="paragraph" w:customStyle="1" w:styleId="FormFieldCaption">
    <w:name w:val="Form Field Caption"/>
    <w:basedOn w:val="Normal"/>
    <w:pPr>
      <w:tabs>
        <w:tab w:val="left" w:pos="270"/>
      </w:tabs>
      <w:autoSpaceDE w:val="0"/>
      <w:autoSpaceDN w:val="0"/>
    </w:pPr>
    <w:rPr>
      <w:rFonts w:ascii="Arial" w:hAnsi="Arial"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autoSpaceDE w:val="0"/>
      <w:autoSpaceDN w:val="0"/>
      <w:spacing w:before="360" w:after="120"/>
      <w:outlineLvl w:val="1"/>
    </w:pPr>
    <w:rPr>
      <w:rFonts w:ascii="Arial" w:hAnsi="Arial"/>
      <w:b/>
      <w:sz w:val="22"/>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autoSpaceDE w:val="0"/>
      <w:autoSpaceDN w:val="0"/>
      <w:spacing w:after="120"/>
      <w:jc w:val="right"/>
    </w:pPr>
    <w:rPr>
      <w:rFonts w:ascii="Arial" w:hAnsi="Arial"/>
      <w:sz w:val="16"/>
    </w:rPr>
  </w:style>
  <w:style w:type="paragraph" w:styleId="BalloonText">
    <w:name w:val="Balloon Text"/>
    <w:basedOn w:val="Normal"/>
    <w:link w:val="BalloonTextChar"/>
    <w:rsid w:val="00C00F42"/>
    <w:pPr>
      <w:autoSpaceDE w:val="0"/>
      <w:autoSpaceDN w:val="0"/>
    </w:pPr>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autoSpaceDE w:val="0"/>
      <w:autoSpaceDN w:val="0"/>
      <w:ind w:left="720"/>
    </w:pPr>
    <w:rPr>
      <w:rFonts w:ascii="Arial" w:hAnsi="Arial"/>
      <w:sz w:val="22"/>
    </w:r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pPr>
      <w:autoSpaceDE w:val="0"/>
      <w:autoSpaceDN w:val="0"/>
    </w:pPr>
    <w:rPr>
      <w:rFonts w:ascii="Arial" w:hAnsi="Arial"/>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autoSpaceDE w:val="0"/>
      <w:autoSpaceDN w:val="0"/>
      <w:jc w:val="center"/>
      <w:outlineLvl w:val="0"/>
    </w:pPr>
    <w:rPr>
      <w:rFonts w:ascii="Arial" w:hAnsi="Arial" w:cs="Arial"/>
      <w:b/>
      <w:bCs/>
      <w:sz w:val="22"/>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styleId="FollowedHyperlink">
    <w:name w:val="FollowedHyperlink"/>
    <w:basedOn w:val="DefaultParagraphFont"/>
    <w:rsid w:val="00E563A5"/>
    <w:rPr>
      <w:color w:val="954F72" w:themeColor="followedHyperlink"/>
      <w:u w:val="single"/>
    </w:rPr>
  </w:style>
  <w:style w:type="character" w:customStyle="1" w:styleId="apple-converted-space">
    <w:name w:val="apple-converted-space"/>
    <w:basedOn w:val="DefaultParagraphFont"/>
    <w:rsid w:val="00710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7774">
      <w:bodyDiv w:val="1"/>
      <w:marLeft w:val="0"/>
      <w:marRight w:val="0"/>
      <w:marTop w:val="0"/>
      <w:marBottom w:val="0"/>
      <w:divBdr>
        <w:top w:val="none" w:sz="0" w:space="0" w:color="auto"/>
        <w:left w:val="none" w:sz="0" w:space="0" w:color="auto"/>
        <w:bottom w:val="none" w:sz="0" w:space="0" w:color="auto"/>
        <w:right w:val="none" w:sz="0" w:space="0" w:color="auto"/>
      </w:divBdr>
    </w:div>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145052429">
      <w:bodyDiv w:val="1"/>
      <w:marLeft w:val="0"/>
      <w:marRight w:val="0"/>
      <w:marTop w:val="0"/>
      <w:marBottom w:val="0"/>
      <w:divBdr>
        <w:top w:val="none" w:sz="0" w:space="0" w:color="auto"/>
        <w:left w:val="none" w:sz="0" w:space="0" w:color="auto"/>
        <w:bottom w:val="none" w:sz="0" w:space="0" w:color="auto"/>
        <w:right w:val="none" w:sz="0" w:space="0" w:color="auto"/>
      </w:divBdr>
    </w:div>
    <w:div w:id="695303532">
      <w:bodyDiv w:val="1"/>
      <w:marLeft w:val="0"/>
      <w:marRight w:val="0"/>
      <w:marTop w:val="0"/>
      <w:marBottom w:val="0"/>
      <w:divBdr>
        <w:top w:val="none" w:sz="0" w:space="0" w:color="auto"/>
        <w:left w:val="none" w:sz="0" w:space="0" w:color="auto"/>
        <w:bottom w:val="none" w:sz="0" w:space="0" w:color="auto"/>
        <w:right w:val="none" w:sz="0" w:space="0" w:color="auto"/>
      </w:divBdr>
    </w:div>
    <w:div w:id="899905773">
      <w:bodyDiv w:val="1"/>
      <w:marLeft w:val="0"/>
      <w:marRight w:val="0"/>
      <w:marTop w:val="0"/>
      <w:marBottom w:val="0"/>
      <w:divBdr>
        <w:top w:val="none" w:sz="0" w:space="0" w:color="auto"/>
        <w:left w:val="none" w:sz="0" w:space="0" w:color="auto"/>
        <w:bottom w:val="none" w:sz="0" w:space="0" w:color="auto"/>
        <w:right w:val="none" w:sz="0" w:space="0" w:color="auto"/>
      </w:divBdr>
    </w:div>
    <w:div w:id="1121533861">
      <w:bodyDiv w:val="1"/>
      <w:marLeft w:val="0"/>
      <w:marRight w:val="0"/>
      <w:marTop w:val="0"/>
      <w:marBottom w:val="0"/>
      <w:divBdr>
        <w:top w:val="none" w:sz="0" w:space="0" w:color="auto"/>
        <w:left w:val="none" w:sz="0" w:space="0" w:color="auto"/>
        <w:bottom w:val="none" w:sz="0" w:space="0" w:color="auto"/>
        <w:right w:val="none" w:sz="0" w:space="0" w:color="auto"/>
      </w:divBdr>
    </w:div>
    <w:div w:id="1344235770">
      <w:bodyDiv w:val="1"/>
      <w:marLeft w:val="0"/>
      <w:marRight w:val="0"/>
      <w:marTop w:val="0"/>
      <w:marBottom w:val="0"/>
      <w:divBdr>
        <w:top w:val="none" w:sz="0" w:space="0" w:color="auto"/>
        <w:left w:val="none" w:sz="0" w:space="0" w:color="auto"/>
        <w:bottom w:val="none" w:sz="0" w:space="0" w:color="auto"/>
        <w:right w:val="none" w:sz="0" w:space="0" w:color="auto"/>
      </w:divBdr>
    </w:div>
    <w:div w:id="1542744920">
      <w:bodyDiv w:val="1"/>
      <w:marLeft w:val="0"/>
      <w:marRight w:val="0"/>
      <w:marTop w:val="0"/>
      <w:marBottom w:val="0"/>
      <w:divBdr>
        <w:top w:val="none" w:sz="0" w:space="0" w:color="auto"/>
        <w:left w:val="none" w:sz="0" w:space="0" w:color="auto"/>
        <w:bottom w:val="none" w:sz="0" w:space="0" w:color="auto"/>
        <w:right w:val="none" w:sz="0" w:space="0" w:color="auto"/>
      </w:divBdr>
    </w:div>
    <w:div w:id="1745834561">
      <w:bodyDiv w:val="1"/>
      <w:marLeft w:val="0"/>
      <w:marRight w:val="0"/>
      <w:marTop w:val="0"/>
      <w:marBottom w:val="0"/>
      <w:divBdr>
        <w:top w:val="none" w:sz="0" w:space="0" w:color="auto"/>
        <w:left w:val="none" w:sz="0" w:space="0" w:color="auto"/>
        <w:bottom w:val="none" w:sz="0" w:space="0" w:color="auto"/>
        <w:right w:val="none" w:sz="0" w:space="0" w:color="auto"/>
      </w:divBdr>
    </w:div>
    <w:div w:id="18636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sites/myncbi/1FeogldaNj7/bibliography/40255272/public/?sort=date&amp;direction=ascending"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bioconductor.org/packages/release/bioc/html/cummeRbu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10/31/14- (EMS) Finalize doc</Test_x0020_Comment>
    <OMB_x0020_No_x002e_ xmlns="97b54082-1e85-426d-afc6-16ad99d216c1">0925-0001/0002</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4D76789-5E08-4A42-9609-71BEDAC08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2411</Words>
  <Characters>13748</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16127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Loyal Goff</cp:lastModifiedBy>
  <cp:revision>4</cp:revision>
  <cp:lastPrinted>2011-03-11T19:43:00Z</cp:lastPrinted>
  <dcterms:created xsi:type="dcterms:W3CDTF">2017-05-11T20:42:00Z</dcterms:created>
  <dcterms:modified xsi:type="dcterms:W3CDTF">2017-08-28T22:48:00Z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