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312B" w14:textId="7DD84850" w:rsidR="00AB6C0F" w:rsidRDefault="003D30C9" w:rsidP="00C52D3B">
      <w:pPr>
        <w:pStyle w:val="Title"/>
      </w:pPr>
      <w:r>
        <w:t xml:space="preserve">Beyond Identity: A Trans Studies </w:t>
      </w:r>
      <w:r w:rsidR="00AB6C0F">
        <w:t>Reading</w:t>
      </w:r>
      <w:r>
        <w:t xml:space="preserve"> </w:t>
      </w:r>
      <w:r w:rsidR="00AB6C0F">
        <w:t>of</w:t>
      </w:r>
    </w:p>
    <w:p w14:paraId="47DF528E" w14:textId="694F6FD8" w:rsidR="00365F1D" w:rsidRPr="00AB6C0F" w:rsidRDefault="003D30C9" w:rsidP="00AB6C0F">
      <w:pPr>
        <w:pStyle w:val="Title"/>
      </w:pPr>
      <w:r>
        <w:t xml:space="preserve">Gender Bias </w:t>
      </w:r>
      <w:r w:rsidR="00AB6C0F">
        <w:t>Evaluation in NLP</w:t>
      </w:r>
    </w:p>
    <w:p w14:paraId="5D6EEF78" w14:textId="3AF9BDD5" w:rsidR="00365F1D" w:rsidRPr="00432DCA" w:rsidRDefault="003D30C9" w:rsidP="00C52D3B">
      <w:pPr>
        <w:pStyle w:val="Authors"/>
        <w:rPr>
          <w:lang w:val="en-GB"/>
        </w:rPr>
      </w:pPr>
      <w:r>
        <w:rPr>
          <w:lang w:val="en-GB"/>
        </w:rPr>
        <w:t>Anonymized</w:t>
      </w:r>
    </w:p>
    <w:p w14:paraId="489811DD" w14:textId="77777777" w:rsidR="00365F1D" w:rsidRPr="00432DCA" w:rsidRDefault="00365F1D" w:rsidP="0020741D">
      <w:pPr>
        <w:pStyle w:val="AbstractTitle"/>
        <w:rPr>
          <w:lang w:val="en-GB"/>
        </w:rPr>
      </w:pPr>
      <w:r w:rsidRPr="00432DCA">
        <w:rPr>
          <w:lang w:val="en-GB"/>
        </w:rPr>
        <w:t>Abstract</w:t>
      </w:r>
    </w:p>
    <w:p w14:paraId="44492065" w14:textId="719B2498" w:rsidR="003D30C9" w:rsidRPr="003D30C9" w:rsidRDefault="005F4458" w:rsidP="003D30C9">
      <w:pPr>
        <w:pStyle w:val="Abstract"/>
        <w:rPr>
          <w:rFonts w:cs="Arial"/>
          <w:szCs w:val="16"/>
        </w:rPr>
      </w:pPr>
      <w:r>
        <w:t>The development of NLP methodologies must engage more deeply with theoretical insights from the humanities, as assumptions about identity</w:t>
      </w:r>
      <w:r>
        <w:t xml:space="preserve"> and </w:t>
      </w:r>
      <w:r>
        <w:t xml:space="preserve">social life fundamentally shape what computational systems are able to recognize and evaluate. </w:t>
      </w:r>
      <w:r w:rsidR="003D30C9" w:rsidRPr="003D30C9">
        <w:rPr>
          <w:rFonts w:eastAsia="Times New Roman" w:cs="Arial"/>
          <w:color w:val="000000"/>
          <w:szCs w:val="16"/>
        </w:rPr>
        <w:t>This paper brings theorizing from Trans Studies to bear on recent</w:t>
      </w:r>
      <w:r w:rsidR="003D30C9" w:rsidRPr="003D30C9">
        <w:rPr>
          <w:rFonts w:cs="Arial"/>
          <w:color w:val="000000"/>
          <w:szCs w:val="16"/>
        </w:rPr>
        <w:t xml:space="preserve"> </w:t>
      </w:r>
      <w:r>
        <w:rPr>
          <w:rFonts w:cs="Arial"/>
          <w:color w:val="000000"/>
          <w:szCs w:val="16"/>
        </w:rPr>
        <w:t xml:space="preserve">NLP </w:t>
      </w:r>
      <w:r w:rsidR="003D30C9" w:rsidRPr="003D30C9">
        <w:rPr>
          <w:rFonts w:eastAsia="Times New Roman" w:cs="Arial"/>
          <w:color w:val="000000"/>
          <w:szCs w:val="16"/>
        </w:rPr>
        <w:t xml:space="preserve">methods for detecting and evaluating </w:t>
      </w:r>
      <w:r w:rsidR="003D30C9">
        <w:rPr>
          <w:rFonts w:eastAsia="Times New Roman" w:cs="Arial"/>
          <w:color w:val="000000"/>
          <w:szCs w:val="16"/>
        </w:rPr>
        <w:t>gender</w:t>
      </w:r>
      <w:r w:rsidR="003D30C9" w:rsidRPr="003D30C9">
        <w:rPr>
          <w:rFonts w:eastAsia="Times New Roman" w:cs="Arial"/>
          <w:color w:val="000000"/>
          <w:szCs w:val="16"/>
        </w:rPr>
        <w:t xml:space="preserve"> bias in Large Language Models</w:t>
      </w:r>
      <w:r w:rsidR="003D30C9" w:rsidRPr="003D30C9">
        <w:rPr>
          <w:rFonts w:cs="Arial"/>
          <w:color w:val="000000"/>
          <w:szCs w:val="16"/>
        </w:rPr>
        <w:t xml:space="preserve"> (LLMs).</w:t>
      </w:r>
      <w:r w:rsidR="003D30C9" w:rsidRPr="003D30C9">
        <w:rPr>
          <w:rFonts w:eastAsia="Times New Roman" w:cs="Arial"/>
          <w:color w:val="000000"/>
          <w:szCs w:val="16"/>
        </w:rPr>
        <w:t xml:space="preserve"> Drawing in particular on Trans Studies</w:t>
      </w:r>
      <w:r w:rsidR="003D30C9" w:rsidRPr="003D30C9">
        <w:rPr>
          <w:rFonts w:cs="Arial"/>
          <w:color w:val="000000"/>
          <w:szCs w:val="16"/>
        </w:rPr>
        <w:t>’</w:t>
      </w:r>
      <w:r w:rsidR="003D30C9" w:rsidRPr="003D30C9">
        <w:rPr>
          <w:rFonts w:eastAsia="Times New Roman" w:cs="Arial"/>
          <w:color w:val="000000"/>
          <w:szCs w:val="16"/>
        </w:rPr>
        <w:t xml:space="preserve"> critique of gender identification, and its emphasis on gender as a visible, expressive, and social</w:t>
      </w:r>
      <w:r w:rsidR="003D30C9" w:rsidRPr="003D30C9">
        <w:rPr>
          <w:rFonts w:cs="Arial"/>
          <w:color w:val="000000"/>
          <w:szCs w:val="16"/>
        </w:rPr>
        <w:t xml:space="preserve"> </w:t>
      </w:r>
      <w:r w:rsidR="003D30C9" w:rsidRPr="003D30C9">
        <w:rPr>
          <w:rFonts w:eastAsia="Times New Roman" w:cs="Arial"/>
          <w:color w:val="000000"/>
          <w:szCs w:val="16"/>
        </w:rPr>
        <w:t>phenomenon, the paper examines how treating gender primarily as an internal identity limits what bias detection systems are able to perceive. According to this critique, systems that conceptualize gender as internal render dominant</w:t>
      </w:r>
      <w:r w:rsidR="003D30C9" w:rsidRPr="003D30C9">
        <w:rPr>
          <w:rFonts w:cs="Arial"/>
          <w:color w:val="000000"/>
          <w:szCs w:val="16"/>
        </w:rPr>
        <w:t xml:space="preserve"> identities invisible while </w:t>
      </w:r>
      <w:r w:rsidR="003D30C9" w:rsidRPr="003D30C9">
        <w:rPr>
          <w:rFonts w:eastAsia="Times New Roman" w:cs="Arial"/>
          <w:color w:val="000000"/>
          <w:szCs w:val="16"/>
        </w:rPr>
        <w:t xml:space="preserve">obscuring </w:t>
      </w:r>
      <w:r w:rsidR="003D30C9" w:rsidRPr="003D30C9">
        <w:rPr>
          <w:rFonts w:cs="Arial"/>
          <w:color w:val="000000"/>
          <w:szCs w:val="16"/>
        </w:rPr>
        <w:t xml:space="preserve">external expression and </w:t>
      </w:r>
      <w:r w:rsidR="003D30C9" w:rsidRPr="003D30C9">
        <w:rPr>
          <w:rFonts w:eastAsia="Times New Roman" w:cs="Arial"/>
          <w:color w:val="000000"/>
          <w:szCs w:val="16"/>
        </w:rPr>
        <w:t>presentation</w:t>
      </w:r>
      <w:r w:rsidR="003D30C9" w:rsidRPr="003D30C9">
        <w:rPr>
          <w:rFonts w:cs="Arial"/>
          <w:color w:val="000000"/>
          <w:szCs w:val="16"/>
        </w:rPr>
        <w:t xml:space="preserve"> which</w:t>
      </w:r>
      <w:r w:rsidR="003D30C9" w:rsidRPr="003D30C9">
        <w:rPr>
          <w:rFonts w:eastAsia="Times New Roman" w:cs="Arial"/>
          <w:color w:val="000000"/>
          <w:szCs w:val="16"/>
        </w:rPr>
        <w:t xml:space="preserve"> </w:t>
      </w:r>
      <w:r w:rsidR="003D30C9" w:rsidRPr="003D30C9">
        <w:rPr>
          <w:rFonts w:cs="Arial"/>
          <w:color w:val="000000"/>
          <w:szCs w:val="16"/>
        </w:rPr>
        <w:t>are</w:t>
      </w:r>
      <w:r w:rsidR="003D30C9" w:rsidRPr="003D30C9">
        <w:rPr>
          <w:rFonts w:eastAsia="Times New Roman" w:cs="Arial"/>
          <w:color w:val="000000"/>
          <w:szCs w:val="16"/>
        </w:rPr>
        <w:t xml:space="preserve"> most frequently targeted by discrimination. Through close analysis of two recent frameworks for studying trans bias—the TIDEs and EQUITBL frameworks</w:t>
      </w:r>
      <w:r w:rsidR="00040139">
        <w:rPr>
          <w:rFonts w:eastAsia="Times New Roman" w:cs="Arial"/>
          <w:color w:val="000000"/>
          <w:szCs w:val="16"/>
        </w:rPr>
        <w:t xml:space="preserve"> (</w:t>
      </w:r>
      <w:proofErr w:type="spellStart"/>
      <w:r w:rsidR="00505723">
        <w:rPr>
          <w:rFonts w:eastAsia="Times New Roman" w:cs="Arial"/>
          <w:color w:val="000000"/>
          <w:szCs w:val="16"/>
        </w:rPr>
        <w:t>Lameiro</w:t>
      </w:r>
      <w:proofErr w:type="spellEnd"/>
      <w:r w:rsidR="00505723">
        <w:rPr>
          <w:rFonts w:eastAsia="Times New Roman" w:cs="Arial"/>
          <w:color w:val="000000"/>
          <w:szCs w:val="16"/>
        </w:rPr>
        <w:t xml:space="preserve"> et al., 2025; Devinney et al., 2024</w:t>
      </w:r>
      <w:r w:rsidR="00040139">
        <w:rPr>
          <w:rFonts w:eastAsia="Times New Roman" w:cs="Arial"/>
          <w:color w:val="000000"/>
          <w:szCs w:val="16"/>
        </w:rPr>
        <w:t>)</w:t>
      </w:r>
      <w:r w:rsidR="003D30C9" w:rsidRPr="003D30C9">
        <w:rPr>
          <w:rFonts w:eastAsia="Times New Roman" w:cs="Arial"/>
          <w:color w:val="000000"/>
          <w:szCs w:val="16"/>
        </w:rPr>
        <w:t>—the paper</w:t>
      </w:r>
      <w:r w:rsidR="003D30C9" w:rsidRPr="003D30C9">
        <w:rPr>
          <w:rFonts w:cs="Arial"/>
          <w:color w:val="000000"/>
          <w:szCs w:val="16"/>
        </w:rPr>
        <w:t xml:space="preserve"> considers to what extent existing techniques for evaluating bias respond to this the concept of gender as external and expressive. It</w:t>
      </w:r>
      <w:r w:rsidR="003D30C9" w:rsidRPr="003D30C9">
        <w:rPr>
          <w:rFonts w:eastAsia="Times New Roman" w:cs="Arial"/>
          <w:color w:val="000000"/>
          <w:szCs w:val="16"/>
        </w:rPr>
        <w:t xml:space="preserve"> concludes by outlining directions for future research that integrate theoretical insights from Trans Studies to better capture the material and relational dimensions of gender bias in language technologies.</w:t>
      </w:r>
    </w:p>
    <w:p w14:paraId="0CF21E3C" w14:textId="446CA97E" w:rsidR="00365F1D" w:rsidRPr="00432DCA" w:rsidRDefault="00365F1D" w:rsidP="0020741D">
      <w:pPr>
        <w:pStyle w:val="Abstract"/>
        <w:rPr>
          <w:lang w:val="en-GB"/>
        </w:rPr>
      </w:pPr>
    </w:p>
    <w:p w14:paraId="3F7E9A32" w14:textId="32512506" w:rsidR="00365F1D" w:rsidRPr="00432DCA" w:rsidRDefault="00365F1D" w:rsidP="0020741D">
      <w:pPr>
        <w:pStyle w:val="Abstract"/>
        <w:rPr>
          <w:lang w:val="en-GB"/>
        </w:rPr>
      </w:pPr>
      <w:r w:rsidRPr="00432DCA">
        <w:rPr>
          <w:b/>
          <w:lang w:val="en-GB"/>
        </w:rPr>
        <w:t>Keywords:</w:t>
      </w:r>
      <w:r w:rsidRPr="00432DCA">
        <w:rPr>
          <w:lang w:val="en-GB"/>
        </w:rPr>
        <w:t xml:space="preserve"> </w:t>
      </w:r>
      <w:r w:rsidR="003D30C9">
        <w:rPr>
          <w:lang w:val="en-GB"/>
        </w:rPr>
        <w:t>Trans Studies, Gender Bias, Bias Detection and Evaluation Methods, Large Language Models</w:t>
      </w:r>
    </w:p>
    <w:p w14:paraId="76EE450E" w14:textId="77777777" w:rsidR="00737E0F" w:rsidRPr="00432DCA" w:rsidRDefault="00737E0F" w:rsidP="006B5D44">
      <w:pPr>
        <w:rPr>
          <w:lang w:val="en-GB"/>
        </w:rPr>
        <w:sectPr w:rsidR="00737E0F" w:rsidRPr="00432DCA" w:rsidSect="005A5FBF">
          <w:type w:val="continuous"/>
          <w:pgSz w:w="11906" w:h="16838"/>
          <w:pgMar w:top="1418" w:right="1418" w:bottom="1418" w:left="1418" w:header="709" w:footer="709" w:gutter="0"/>
          <w:cols w:space="708"/>
          <w:docGrid w:linePitch="360"/>
        </w:sectPr>
      </w:pPr>
    </w:p>
    <w:p w14:paraId="2DDC2292" w14:textId="5B20879B" w:rsidR="00365F1D" w:rsidRPr="00432DCA" w:rsidRDefault="00826DFF" w:rsidP="000E60C2">
      <w:pPr>
        <w:pStyle w:val="Heading1"/>
        <w:rPr>
          <w:lang w:val="en-GB"/>
        </w:rPr>
      </w:pPr>
      <w:r>
        <w:rPr>
          <w:lang w:val="en-GB"/>
        </w:rPr>
        <w:t>Introduction</w:t>
      </w:r>
    </w:p>
    <w:p w14:paraId="3CF3BE9F" w14:textId="3D56D3C0" w:rsidR="003D30C9" w:rsidRPr="003D30C9" w:rsidRDefault="003D30C9" w:rsidP="003D30C9">
      <w:pPr>
        <w:rPr>
          <w:rFonts w:cs="Arial"/>
          <w:color w:val="000000"/>
          <w:szCs w:val="18"/>
        </w:rPr>
      </w:pPr>
      <w:r w:rsidRPr="003D30C9">
        <w:rPr>
          <w:rFonts w:eastAsia="Times New Roman" w:cs="Arial"/>
          <w:color w:val="000000"/>
          <w:szCs w:val="18"/>
        </w:rPr>
        <w:t xml:space="preserve">There is a global urgency to define gender. In various </w:t>
      </w:r>
      <w:r w:rsidRPr="003D30C9">
        <w:rPr>
          <w:rFonts w:cs="Arial"/>
          <w:szCs w:val="18"/>
        </w:rPr>
        <w:t>countries</w:t>
      </w:r>
      <w:r w:rsidRPr="003D30C9">
        <w:rPr>
          <w:rFonts w:eastAsia="Times New Roman" w:cs="Arial"/>
          <w:color w:val="000000"/>
          <w:szCs w:val="18"/>
        </w:rPr>
        <w:t xml:space="preserve"> around the world, gender designations like </w:t>
      </w:r>
      <w:r w:rsidRPr="003D30C9">
        <w:rPr>
          <w:rFonts w:cs="Arial"/>
          <w:color w:val="000000"/>
          <w:szCs w:val="18"/>
        </w:rPr>
        <w:t>“</w:t>
      </w:r>
      <w:r w:rsidRPr="003D30C9">
        <w:rPr>
          <w:rFonts w:eastAsia="Times New Roman" w:cs="Arial"/>
          <w:color w:val="000000"/>
          <w:szCs w:val="18"/>
        </w:rPr>
        <w:t>transgender</w:t>
      </w:r>
      <w:r w:rsidRPr="003D30C9">
        <w:rPr>
          <w:rFonts w:cs="Arial"/>
          <w:color w:val="000000"/>
          <w:szCs w:val="18"/>
        </w:rPr>
        <w:t>”</w:t>
      </w:r>
      <w:r w:rsidRPr="003D30C9">
        <w:rPr>
          <w:rFonts w:eastAsia="Times New Roman" w:cs="Arial"/>
          <w:color w:val="000000"/>
          <w:szCs w:val="18"/>
        </w:rPr>
        <w:t xml:space="preserve"> and </w:t>
      </w:r>
      <w:r w:rsidRPr="003D30C9">
        <w:rPr>
          <w:rFonts w:cs="Arial"/>
          <w:color w:val="000000"/>
          <w:szCs w:val="18"/>
        </w:rPr>
        <w:t>“</w:t>
      </w:r>
      <w:r w:rsidRPr="003D30C9">
        <w:rPr>
          <w:rFonts w:eastAsia="Times New Roman" w:cs="Arial"/>
          <w:color w:val="000000"/>
          <w:szCs w:val="18"/>
        </w:rPr>
        <w:t>nonbinary</w:t>
      </w:r>
      <w:r w:rsidRPr="003D30C9">
        <w:rPr>
          <w:rFonts w:cs="Arial"/>
          <w:color w:val="000000"/>
          <w:szCs w:val="18"/>
        </w:rPr>
        <w:t>”</w:t>
      </w:r>
      <w:r w:rsidRPr="003D30C9">
        <w:rPr>
          <w:rFonts w:eastAsia="Times New Roman" w:cs="Arial"/>
          <w:color w:val="000000"/>
          <w:szCs w:val="18"/>
        </w:rPr>
        <w:t xml:space="preserve"> are prompting backlash that has resulted in the retraction of hard-gained rights for LGBTQ+ groups, such as the </w:t>
      </w:r>
      <w:r w:rsidRPr="003D30C9">
        <w:rPr>
          <w:rFonts w:cs="Arial"/>
          <w:color w:val="000000"/>
          <w:szCs w:val="18"/>
        </w:rPr>
        <w:t xml:space="preserve">recent </w:t>
      </w:r>
      <w:r w:rsidRPr="003D30C9">
        <w:rPr>
          <w:rFonts w:eastAsia="Times New Roman" w:cs="Arial"/>
          <w:color w:val="000000"/>
          <w:szCs w:val="18"/>
        </w:rPr>
        <w:t xml:space="preserve">ban on gender-affirming care for minors in the USA </w:t>
      </w:r>
      <w:r w:rsidR="00505723">
        <w:rPr>
          <w:rFonts w:eastAsia="Times New Roman" w:cs="Arial"/>
          <w:color w:val="000000"/>
          <w:szCs w:val="18"/>
        </w:rPr>
        <w:t xml:space="preserve">(Karni and Kavi, 2025). </w:t>
      </w:r>
      <w:r w:rsidRPr="003D30C9">
        <w:rPr>
          <w:rFonts w:eastAsia="Times New Roman" w:cs="Arial"/>
          <w:color w:val="000000"/>
          <w:szCs w:val="18"/>
        </w:rPr>
        <w:t xml:space="preserve">This backlash takes what it terms </w:t>
      </w:r>
      <w:r w:rsidRPr="003D30C9">
        <w:rPr>
          <w:rFonts w:cs="Arial"/>
          <w:color w:val="000000"/>
          <w:szCs w:val="18"/>
        </w:rPr>
        <w:t>“</w:t>
      </w:r>
      <w:r w:rsidRPr="003D30C9">
        <w:rPr>
          <w:rFonts w:eastAsia="Times New Roman" w:cs="Arial"/>
          <w:color w:val="000000"/>
          <w:szCs w:val="18"/>
        </w:rPr>
        <w:t>gender ideology</w:t>
      </w:r>
      <w:r w:rsidRPr="003D30C9">
        <w:rPr>
          <w:rFonts w:cs="Arial"/>
          <w:color w:val="000000"/>
          <w:szCs w:val="18"/>
        </w:rPr>
        <w:t>”</w:t>
      </w:r>
      <w:r w:rsidRPr="003D30C9">
        <w:rPr>
          <w:rFonts w:eastAsia="Times New Roman" w:cs="Arial"/>
          <w:color w:val="000000"/>
          <w:szCs w:val="18"/>
        </w:rPr>
        <w:t>, or nontraditional views of gender that are not based on biological sex, as a rallying cry for political priorities that align with patriarchal and xenophobic logics, such as anti-immigrant discrimination</w:t>
      </w:r>
      <w:r w:rsidR="00505723">
        <w:rPr>
          <w:rFonts w:eastAsia="Times New Roman" w:cs="Arial"/>
          <w:color w:val="000000"/>
          <w:szCs w:val="18"/>
        </w:rPr>
        <w:t xml:space="preserve"> (Butler, 2024; Human Rights Research Center, 2025; </w:t>
      </w:r>
      <w:proofErr w:type="spellStart"/>
      <w:r w:rsidR="00505723">
        <w:rPr>
          <w:rFonts w:eastAsia="Times New Roman" w:cs="Arial"/>
          <w:color w:val="000000"/>
          <w:szCs w:val="18"/>
        </w:rPr>
        <w:t>Shakhsari</w:t>
      </w:r>
      <w:proofErr w:type="spellEnd"/>
      <w:r w:rsidR="00505723">
        <w:rPr>
          <w:rFonts w:eastAsia="Times New Roman" w:cs="Arial"/>
          <w:color w:val="000000"/>
          <w:szCs w:val="18"/>
        </w:rPr>
        <w:t>, 2013).</w:t>
      </w:r>
    </w:p>
    <w:p w14:paraId="6AD957B2" w14:textId="59801614"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In response to attacks on </w:t>
      </w:r>
      <w:r w:rsidRPr="003D30C9">
        <w:rPr>
          <w:rFonts w:cs="Arial"/>
          <w:color w:val="000000"/>
          <w:szCs w:val="18"/>
        </w:rPr>
        <w:t xml:space="preserve">so-called </w:t>
      </w:r>
      <w:r w:rsidRPr="003D30C9">
        <w:rPr>
          <w:rFonts w:eastAsia="Times New Roman" w:cs="Arial"/>
          <w:color w:val="000000"/>
          <w:szCs w:val="18"/>
        </w:rPr>
        <w:t xml:space="preserve">gender ideology, some progressive groups have doubled down on a definition of gender that is based on internal identification rather than biological reality </w:t>
      </w:r>
      <w:r w:rsidR="00505723">
        <w:rPr>
          <w:rFonts w:eastAsia="Times New Roman" w:cs="Arial"/>
          <w:color w:val="000000"/>
          <w:szCs w:val="18"/>
        </w:rPr>
        <w:t xml:space="preserve">(Drescher, 2025). </w:t>
      </w:r>
      <w:r w:rsidRPr="003D30C9">
        <w:rPr>
          <w:rFonts w:eastAsia="Times New Roman" w:cs="Arial"/>
          <w:color w:val="000000"/>
          <w:szCs w:val="18"/>
        </w:rPr>
        <w:t>Drawing from foundational theories of gender, such as Judith Butler</w:t>
      </w:r>
      <w:r w:rsidRPr="003D30C9">
        <w:rPr>
          <w:rFonts w:cs="Arial"/>
          <w:color w:val="000000"/>
          <w:szCs w:val="18"/>
        </w:rPr>
        <w:t>’</w:t>
      </w:r>
      <w:r w:rsidRPr="003D30C9">
        <w:rPr>
          <w:rFonts w:eastAsia="Times New Roman" w:cs="Arial"/>
          <w:color w:val="000000"/>
          <w:szCs w:val="18"/>
        </w:rPr>
        <w:t xml:space="preserve">s </w:t>
      </w:r>
      <w:r w:rsidR="007303E3">
        <w:rPr>
          <w:rFonts w:eastAsia="Times New Roman" w:cs="Arial"/>
          <w:color w:val="000000"/>
          <w:szCs w:val="18"/>
        </w:rPr>
        <w:t>(1990)</w:t>
      </w:r>
      <w:r w:rsidRPr="003D30C9">
        <w:rPr>
          <w:rFonts w:eastAsia="Times New Roman" w:cs="Arial"/>
          <w:color w:val="000000"/>
          <w:szCs w:val="18"/>
        </w:rPr>
        <w:t xml:space="preserve"> theory of Gender Performativity </w:t>
      </w:r>
      <w:r w:rsidRPr="003D30C9">
        <w:rPr>
          <w:rFonts w:cs="Arial"/>
          <w:color w:val="000000"/>
          <w:szCs w:val="18"/>
        </w:rPr>
        <w:t>(</w:t>
      </w:r>
      <w:r w:rsidRPr="003D30C9">
        <w:rPr>
          <w:rFonts w:eastAsia="Times New Roman" w:cs="Arial"/>
          <w:color w:val="000000"/>
          <w:szCs w:val="18"/>
        </w:rPr>
        <w:t>discussed in more detail below), which breaks down the rigid and causal relationship between sex and gender, this perspective leaves room for individuals to identify according to their personal perception and feeling, which may or may not correspond to their assigned sex at birth.</w:t>
      </w:r>
    </w:p>
    <w:p w14:paraId="3010AD6D" w14:textId="7FEBD47C"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In contrast to the progressive view, the academic field of Trans Studies has been exploring paradigms that describe and represent non-normative forms of gender according to its expressive characteristics. One perspective from this field, called </w:t>
      </w:r>
      <w:r w:rsidRPr="003D30C9">
        <w:rPr>
          <w:rFonts w:cs="Arial"/>
          <w:color w:val="000000"/>
          <w:szCs w:val="18"/>
        </w:rPr>
        <w:t>“</w:t>
      </w:r>
      <w:r w:rsidRPr="003D30C9">
        <w:rPr>
          <w:rFonts w:eastAsia="Times New Roman" w:cs="Arial"/>
          <w:color w:val="000000"/>
          <w:szCs w:val="18"/>
        </w:rPr>
        <w:t>trans materialism</w:t>
      </w:r>
      <w:r w:rsidRPr="003D30C9">
        <w:rPr>
          <w:rFonts w:cs="Arial"/>
          <w:color w:val="000000"/>
          <w:szCs w:val="18"/>
        </w:rPr>
        <w:t>”</w:t>
      </w:r>
      <w:r w:rsidRPr="003D30C9">
        <w:rPr>
          <w:rFonts w:eastAsia="Times New Roman" w:cs="Arial"/>
          <w:color w:val="000000"/>
          <w:szCs w:val="18"/>
        </w:rPr>
        <w:t xml:space="preserve">, is based on the notion that gender operates externally, and ought to be evident in behavior, social relations, and appearance </w:t>
      </w:r>
      <w:r w:rsidR="007303E3">
        <w:rPr>
          <w:rFonts w:eastAsia="Times New Roman" w:cs="Arial"/>
          <w:color w:val="000000"/>
          <w:szCs w:val="18"/>
        </w:rPr>
        <w:t xml:space="preserve">(Amin, 2022). </w:t>
      </w:r>
      <w:r w:rsidRPr="003D30C9">
        <w:rPr>
          <w:rFonts w:eastAsia="Times New Roman" w:cs="Arial"/>
          <w:color w:val="000000"/>
          <w:szCs w:val="18"/>
        </w:rPr>
        <w:t xml:space="preserve">Its logic, simply put, states that if gender is conceived as an </w:t>
      </w:r>
      <w:r w:rsidRPr="003D30C9">
        <w:rPr>
          <w:rFonts w:eastAsia="Times New Roman" w:cs="Arial"/>
          <w:color w:val="000000"/>
          <w:szCs w:val="18"/>
        </w:rPr>
        <w:t>external phenomenon</w:t>
      </w:r>
      <w:r w:rsidRPr="003D30C9">
        <w:rPr>
          <w:rFonts w:cs="Arial"/>
          <w:color w:val="000000"/>
          <w:szCs w:val="18"/>
        </w:rPr>
        <w:t xml:space="preserve">, </w:t>
      </w:r>
      <w:r w:rsidRPr="003D30C9">
        <w:rPr>
          <w:rFonts w:eastAsia="Times New Roman" w:cs="Arial"/>
          <w:color w:val="000000"/>
          <w:szCs w:val="18"/>
        </w:rPr>
        <w:t>it will be easier to make visible those who are non-conforming to gender norms, and therefore most marginalized.</w:t>
      </w:r>
    </w:p>
    <w:p w14:paraId="0A0EA2A8" w14:textId="6F3D4240"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Across the disciplinary divide, NLP has been developing various methods for studying gender bias in language forms. Over the past several years, such methods have ranged from Word Embedding approaches </w:t>
      </w:r>
      <w:r w:rsidR="007303E3">
        <w:rPr>
          <w:rFonts w:eastAsia="Times New Roman" w:cs="Arial"/>
          <w:color w:val="000000"/>
          <w:szCs w:val="18"/>
        </w:rPr>
        <w:t>(</w:t>
      </w:r>
      <w:proofErr w:type="spellStart"/>
      <w:r w:rsidR="007303E3">
        <w:rPr>
          <w:rFonts w:eastAsia="Times New Roman" w:cs="Arial"/>
          <w:color w:val="000000"/>
          <w:szCs w:val="18"/>
        </w:rPr>
        <w:t>Bolukbasi</w:t>
      </w:r>
      <w:proofErr w:type="spellEnd"/>
      <w:r w:rsidR="007303E3">
        <w:rPr>
          <w:rFonts w:eastAsia="Times New Roman" w:cs="Arial"/>
          <w:color w:val="000000"/>
          <w:szCs w:val="18"/>
        </w:rPr>
        <w:t xml:space="preserve"> et al., 2016)</w:t>
      </w:r>
      <w:r w:rsidRPr="003D30C9">
        <w:rPr>
          <w:rFonts w:eastAsia="Times New Roman" w:cs="Arial"/>
          <w:color w:val="000000"/>
          <w:szCs w:val="18"/>
        </w:rPr>
        <w:t xml:space="preserve">, to Coreference Resolution tasks </w:t>
      </w:r>
      <w:r w:rsidR="007303E3">
        <w:rPr>
          <w:rFonts w:eastAsia="Times New Roman" w:cs="Arial"/>
          <w:color w:val="000000"/>
          <w:szCs w:val="18"/>
        </w:rPr>
        <w:t>(Rudinger et al., 2018)</w:t>
      </w:r>
      <w:r w:rsidRPr="003D30C9">
        <w:rPr>
          <w:rFonts w:eastAsia="Times New Roman" w:cs="Arial"/>
          <w:color w:val="000000"/>
          <w:szCs w:val="18"/>
        </w:rPr>
        <w:t>, and more recently, Language Generation methods that include prompting</w:t>
      </w:r>
      <w:r w:rsidR="007303E3">
        <w:rPr>
          <w:rFonts w:eastAsia="Times New Roman" w:cs="Arial"/>
          <w:color w:val="000000"/>
          <w:szCs w:val="18"/>
        </w:rPr>
        <w:t xml:space="preserve"> Kaneko et al., 2024)</w:t>
      </w:r>
      <w:r w:rsidRPr="003D30C9">
        <w:rPr>
          <w:rFonts w:eastAsia="Times New Roman" w:cs="Arial"/>
          <w:color w:val="000000"/>
          <w:szCs w:val="18"/>
        </w:rPr>
        <w:t xml:space="preserve">. Most recently, a growing number of these methods address queer and transgender bias in particular </w:t>
      </w:r>
      <w:r w:rsidR="007303E3">
        <w:rPr>
          <w:rFonts w:eastAsia="Times New Roman" w:cs="Arial"/>
          <w:color w:val="000000"/>
          <w:szCs w:val="18"/>
        </w:rPr>
        <w:t>(Felkner et al., 2024; Ovalle et al., 2023)</w:t>
      </w:r>
      <w:r w:rsidRPr="003D30C9">
        <w:rPr>
          <w:rFonts w:eastAsia="Times New Roman" w:cs="Arial"/>
          <w:color w:val="000000"/>
          <w:szCs w:val="18"/>
        </w:rPr>
        <w:t xml:space="preserve">. Through the analysis of concrete linguistic features, these bias detection and mitigation techniques </w:t>
      </w:r>
      <w:r w:rsidRPr="003D30C9">
        <w:rPr>
          <w:rFonts w:cs="Arial"/>
          <w:color w:val="000000"/>
          <w:szCs w:val="18"/>
        </w:rPr>
        <w:t>aim</w:t>
      </w:r>
      <w:r w:rsidRPr="003D30C9">
        <w:rPr>
          <w:rFonts w:eastAsia="Times New Roman" w:cs="Arial"/>
          <w:color w:val="000000"/>
          <w:szCs w:val="18"/>
        </w:rPr>
        <w:t xml:space="preserve"> to make explicit the ways that language forms encode harmful perceptions of gender.</w:t>
      </w:r>
    </w:p>
    <w:p w14:paraId="5D6D0812" w14:textId="0546B002"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This paper explores how theorizing from Trans Studies might be applied to current methods in NLP, focusing on two recent frameworks for detecting transgender bias in language, TIDEs and </w:t>
      </w:r>
      <w:r w:rsidR="00E25F01">
        <w:rPr>
          <w:rFonts w:eastAsia="Times New Roman" w:cs="Arial"/>
          <w:color w:val="000000"/>
          <w:szCs w:val="18"/>
        </w:rPr>
        <w:t>EQUITBL</w:t>
      </w:r>
      <w:r w:rsidR="007303E3">
        <w:rPr>
          <w:rFonts w:eastAsia="Times New Roman" w:cs="Arial"/>
          <w:color w:val="000000"/>
          <w:szCs w:val="18"/>
        </w:rPr>
        <w:t xml:space="preserve"> </w:t>
      </w:r>
      <w:r w:rsidR="007303E3">
        <w:rPr>
          <w:rFonts w:eastAsia="Times New Roman" w:cs="Arial"/>
          <w:color w:val="000000"/>
          <w:szCs w:val="16"/>
        </w:rPr>
        <w:t>(</w:t>
      </w:r>
      <w:proofErr w:type="spellStart"/>
      <w:r w:rsidR="007303E3">
        <w:rPr>
          <w:rFonts w:eastAsia="Times New Roman" w:cs="Arial"/>
          <w:color w:val="000000"/>
          <w:szCs w:val="16"/>
        </w:rPr>
        <w:t>Lameiro</w:t>
      </w:r>
      <w:proofErr w:type="spellEnd"/>
      <w:r w:rsidR="007303E3">
        <w:rPr>
          <w:rFonts w:eastAsia="Times New Roman" w:cs="Arial"/>
          <w:color w:val="000000"/>
          <w:szCs w:val="16"/>
        </w:rPr>
        <w:t xml:space="preserve"> et al., 2025; Devinney et al., 2024)</w:t>
      </w:r>
      <w:r w:rsidRPr="003D30C9">
        <w:rPr>
          <w:rFonts w:eastAsia="Times New Roman" w:cs="Arial"/>
          <w:color w:val="000000"/>
          <w:szCs w:val="18"/>
        </w:rPr>
        <w:t xml:space="preserve">. In a </w:t>
      </w:r>
      <w:r w:rsidRPr="003D30C9">
        <w:rPr>
          <w:rFonts w:cs="Arial"/>
          <w:color w:val="000000"/>
          <w:szCs w:val="18"/>
        </w:rPr>
        <w:t>close</w:t>
      </w:r>
      <w:r w:rsidRPr="003D30C9">
        <w:rPr>
          <w:rFonts w:eastAsia="Times New Roman" w:cs="Arial"/>
          <w:color w:val="000000"/>
          <w:szCs w:val="18"/>
        </w:rPr>
        <w:t xml:space="preserve"> reading of their methodologies, this analysis draws out potential sites of engagement with Trans Studies theory. It argues that despite their contrasting approaches, with one focusing on binary classification and the other on qualitative analysis, both methods significantly benefit from thinking about gender as a behavioral and social phenomenon, as theorized in Trans Studies. Specifically, Tran Studies’ emphasis on </w:t>
      </w:r>
      <w:r w:rsidRPr="003D30C9">
        <w:rPr>
          <w:rFonts w:cs="Arial"/>
          <w:szCs w:val="18"/>
        </w:rPr>
        <w:t xml:space="preserve">making </w:t>
      </w:r>
      <w:r w:rsidRPr="003D30C9">
        <w:rPr>
          <w:rFonts w:eastAsia="Times New Roman" w:cs="Arial"/>
          <w:color w:val="000000"/>
          <w:szCs w:val="18"/>
        </w:rPr>
        <w:t xml:space="preserve">visible the expressive aspects of gender identity has </w:t>
      </w:r>
      <w:proofErr w:type="gramStart"/>
      <w:r w:rsidRPr="003D30C9">
        <w:rPr>
          <w:rFonts w:eastAsia="Times New Roman" w:cs="Arial"/>
          <w:color w:val="000000"/>
          <w:szCs w:val="18"/>
        </w:rPr>
        <w:t>direct</w:t>
      </w:r>
      <w:proofErr w:type="gramEnd"/>
      <w:r w:rsidRPr="003D30C9">
        <w:rPr>
          <w:rFonts w:eastAsia="Times New Roman" w:cs="Arial"/>
          <w:color w:val="000000"/>
          <w:szCs w:val="18"/>
        </w:rPr>
        <w:t xml:space="preserve"> application to techniques for marking up and coding gender in NLP.</w:t>
      </w:r>
    </w:p>
    <w:p w14:paraId="76273BF9" w14:textId="0031A1F7" w:rsidR="003D30C9" w:rsidRPr="003D30C9" w:rsidRDefault="003D30C9" w:rsidP="003D30C9">
      <w:pPr>
        <w:rPr>
          <w:rFonts w:eastAsia="Times New Roman" w:cs="Arial"/>
          <w:color w:val="000000"/>
          <w:szCs w:val="18"/>
          <w:lang w:val="fr-FR"/>
        </w:rPr>
      </w:pPr>
      <w:r w:rsidRPr="003D30C9">
        <w:rPr>
          <w:rFonts w:eastAsia="Times New Roman" w:cs="Arial"/>
          <w:color w:val="000000"/>
          <w:szCs w:val="18"/>
        </w:rPr>
        <w:lastRenderedPageBreak/>
        <w:t>A central part of this paper</w:t>
      </w:r>
      <w:r w:rsidRPr="003D30C9">
        <w:rPr>
          <w:rFonts w:cs="Arial"/>
          <w:color w:val="000000"/>
          <w:szCs w:val="18"/>
        </w:rPr>
        <w:t>’</w:t>
      </w:r>
      <w:r w:rsidRPr="003D30C9">
        <w:rPr>
          <w:rFonts w:eastAsia="Times New Roman" w:cs="Arial"/>
          <w:color w:val="000000"/>
          <w:szCs w:val="18"/>
        </w:rPr>
        <w:t>s motivation is its analytical method, which it demonstrates in practice</w:t>
      </w:r>
      <w:r w:rsidRPr="003D30C9">
        <w:rPr>
          <w:rFonts w:cs="Arial"/>
          <w:color w:val="000000"/>
          <w:szCs w:val="18"/>
        </w:rPr>
        <w:t xml:space="preserve"> in its analysis of the two bias detection and mitigation techniques</w:t>
      </w:r>
      <w:r w:rsidRPr="003D30C9">
        <w:rPr>
          <w:rFonts w:eastAsia="Times New Roman" w:cs="Arial"/>
          <w:color w:val="000000"/>
          <w:szCs w:val="18"/>
        </w:rPr>
        <w:t xml:space="preserve">. </w:t>
      </w:r>
      <w:r w:rsidRPr="003D30C9">
        <w:rPr>
          <w:rFonts w:cs="Arial"/>
          <w:color w:val="000000"/>
          <w:szCs w:val="18"/>
        </w:rPr>
        <w:t>This paper</w:t>
      </w:r>
      <w:r w:rsidRPr="003D30C9">
        <w:rPr>
          <w:rFonts w:eastAsia="Times New Roman" w:cs="Arial"/>
          <w:color w:val="000000"/>
          <w:szCs w:val="18"/>
        </w:rPr>
        <w:t xml:space="preserve"> </w:t>
      </w:r>
      <w:r w:rsidRPr="003D30C9">
        <w:rPr>
          <w:rFonts w:cs="Arial"/>
          <w:color w:val="000000"/>
          <w:szCs w:val="18"/>
        </w:rPr>
        <w:t>posits</w:t>
      </w:r>
      <w:r w:rsidRPr="003D30C9">
        <w:rPr>
          <w:rFonts w:eastAsia="Times New Roman" w:cs="Arial"/>
          <w:color w:val="000000"/>
          <w:szCs w:val="18"/>
        </w:rPr>
        <w:t xml:space="preserve"> that </w:t>
      </w:r>
      <w:r w:rsidRPr="003D30C9">
        <w:rPr>
          <w:rFonts w:cs="Arial"/>
          <w:color w:val="000000"/>
          <w:szCs w:val="18"/>
        </w:rPr>
        <w:t>the sustained attention to individual samples of evidence,</w:t>
      </w:r>
      <w:r w:rsidRPr="003D30C9">
        <w:rPr>
          <w:rFonts w:eastAsia="Times New Roman" w:cs="Arial"/>
          <w:color w:val="000000"/>
          <w:szCs w:val="18"/>
        </w:rPr>
        <w:t xml:space="preserve"> called </w:t>
      </w:r>
      <w:r w:rsidRPr="003D30C9">
        <w:rPr>
          <w:rFonts w:cs="Arial"/>
          <w:color w:val="000000"/>
          <w:szCs w:val="18"/>
        </w:rPr>
        <w:t>“</w:t>
      </w:r>
      <w:r w:rsidRPr="003D30C9">
        <w:rPr>
          <w:rFonts w:eastAsia="Times New Roman" w:cs="Arial"/>
          <w:color w:val="000000"/>
          <w:szCs w:val="18"/>
        </w:rPr>
        <w:t>close reading</w:t>
      </w:r>
      <w:r w:rsidRPr="003D30C9">
        <w:rPr>
          <w:rFonts w:cs="Arial"/>
          <w:color w:val="000000"/>
          <w:szCs w:val="18"/>
        </w:rPr>
        <w:t>”</w:t>
      </w:r>
      <w:r w:rsidRPr="003D30C9">
        <w:rPr>
          <w:rFonts w:eastAsia="Times New Roman" w:cs="Arial"/>
          <w:color w:val="000000"/>
          <w:szCs w:val="18"/>
        </w:rPr>
        <w:t xml:space="preserve"> in Humanities disciplines, can draw out significant alignments between diverse methodologies</w:t>
      </w:r>
      <w:r w:rsidRPr="003D30C9">
        <w:rPr>
          <w:rFonts w:cs="Arial"/>
          <w:color w:val="000000"/>
          <w:szCs w:val="18"/>
        </w:rPr>
        <w:t>, such as the two methodologies featured here</w:t>
      </w:r>
      <w:r w:rsidRPr="003D30C9">
        <w:rPr>
          <w:rFonts w:eastAsia="Times New Roman" w:cs="Arial"/>
          <w:color w:val="000000"/>
          <w:szCs w:val="18"/>
        </w:rPr>
        <w:t xml:space="preserve">. It therefore contributes to work from this venue that calls for interdisciplinary theorizing </w:t>
      </w:r>
      <w:r w:rsidRPr="003D30C9">
        <w:rPr>
          <w:rFonts w:cs="Arial"/>
          <w:color w:val="000000"/>
          <w:szCs w:val="18"/>
        </w:rPr>
        <w:t>in</w:t>
      </w:r>
      <w:r w:rsidRPr="003D30C9">
        <w:rPr>
          <w:rFonts w:eastAsia="Times New Roman" w:cs="Arial"/>
          <w:color w:val="000000"/>
          <w:szCs w:val="18"/>
        </w:rPr>
        <w:t xml:space="preserve"> NLP</w:t>
      </w:r>
      <w:r w:rsidRPr="003D30C9">
        <w:rPr>
          <w:rFonts w:cs="Arial"/>
          <w:color w:val="000000"/>
          <w:szCs w:val="18"/>
        </w:rPr>
        <w:t xml:space="preserve"> </w:t>
      </w:r>
      <w:r w:rsidR="007303E3">
        <w:rPr>
          <w:rFonts w:cs="Arial"/>
          <w:color w:val="000000"/>
          <w:szCs w:val="18"/>
        </w:rPr>
        <w:t>(World Health Organization, 2025; Birhane et al., 2022)</w:t>
      </w:r>
      <w:r w:rsidRPr="003D30C9">
        <w:rPr>
          <w:rFonts w:eastAsia="Times New Roman" w:cs="Arial"/>
          <w:color w:val="000000"/>
          <w:szCs w:val="18"/>
        </w:rPr>
        <w:t>.</w:t>
      </w:r>
    </w:p>
    <w:p w14:paraId="48571B4D" w14:textId="77777777" w:rsidR="003D30C9" w:rsidRPr="00432DCA" w:rsidRDefault="003D30C9" w:rsidP="006B5D44">
      <w:pPr>
        <w:rPr>
          <w:lang w:val="en-GB" w:eastAsia="fr-FR"/>
        </w:rPr>
      </w:pPr>
    </w:p>
    <w:p w14:paraId="7655DDAC" w14:textId="008F82AD" w:rsidR="00A355C1" w:rsidRPr="00432DCA" w:rsidRDefault="00826DFF" w:rsidP="000E60C2">
      <w:pPr>
        <w:pStyle w:val="Heading1"/>
        <w:rPr>
          <w:rFonts w:eastAsia="Times New Roman"/>
          <w:lang w:val="en-GB" w:eastAsia="fr-FR"/>
        </w:rPr>
      </w:pPr>
      <w:r>
        <w:rPr>
          <w:lang w:val="en-GB"/>
        </w:rPr>
        <w:t>Defining Gender</w:t>
      </w:r>
    </w:p>
    <w:p w14:paraId="60B1FB67" w14:textId="0EE36188" w:rsidR="003D30C9" w:rsidRDefault="003D30C9" w:rsidP="006B5D44">
      <w:r>
        <w:t xml:space="preserve">The next subsections consider how gender has been conceptualized across various discourses, spanning political and academic perspectives. </w:t>
      </w:r>
    </w:p>
    <w:p w14:paraId="1BC97F51" w14:textId="77777777" w:rsidR="00040139" w:rsidRDefault="00040139" w:rsidP="006B5D44">
      <w:pPr>
        <w:rPr>
          <w:lang w:val="en-GB"/>
        </w:rPr>
      </w:pPr>
    </w:p>
    <w:p w14:paraId="2118DC5C" w14:textId="62EFC63F" w:rsidR="003D30C9" w:rsidRDefault="00826DFF" w:rsidP="003D30C9">
      <w:pPr>
        <w:pStyle w:val="Heading2"/>
        <w:rPr>
          <w:lang w:val="en-GB"/>
        </w:rPr>
      </w:pPr>
      <w:r>
        <w:rPr>
          <w:lang w:val="en-GB"/>
        </w:rPr>
        <w:t>Gender Ideology</w:t>
      </w:r>
    </w:p>
    <w:p w14:paraId="1D64B877" w14:textId="49B8BAAC" w:rsidR="00826DFF" w:rsidRDefault="00826DFF" w:rsidP="00826DFF">
      <w:pPr>
        <w:rPr>
          <w:color w:val="000000"/>
        </w:rPr>
      </w:pPr>
      <w:r>
        <w:rPr>
          <w:color w:val="000000"/>
        </w:rPr>
        <w:t xml:space="preserve">The term “gender ideology”, which the Southern Poverty Law Center classifies as a derogatory term, refers to the view that transgender and nonbinary identities are internal and therefore false belief systems </w:t>
      </w:r>
      <w:r w:rsidR="007303E3">
        <w:rPr>
          <w:color w:val="000000"/>
        </w:rPr>
        <w:t>(Southern Poverty Law Center, 2023)</w:t>
      </w:r>
      <w:r>
        <w:rPr>
          <w:color w:val="000000"/>
        </w:rPr>
        <w:t>. In various countries around the world, gender ideology has risen to a national issue, serving to unite various political aims into what are mostly alt-right agendas. In the European continent, conservative groups have used gender ideology to prop up other forms of social discrimination, such as that against migrants. In Italy, for example, discourses of gender ideology have been linked to white nationalism, whereby “</w:t>
      </w:r>
      <w:r w:rsidRPr="00330B61">
        <w:rPr>
          <w:color w:val="000000"/>
        </w:rPr>
        <w:t>‘gender’ can be used to</w:t>
      </w:r>
      <w:r>
        <w:rPr>
          <w:color w:val="000000"/>
        </w:rPr>
        <w:t xml:space="preserve"> </w:t>
      </w:r>
      <w:r w:rsidRPr="00330B61">
        <w:rPr>
          <w:color w:val="000000"/>
        </w:rPr>
        <w:t>‘stick’ ‘migrant’ and queer subjects together,</w:t>
      </w:r>
      <w:r>
        <w:rPr>
          <w:color w:val="000000"/>
        </w:rPr>
        <w:t xml:space="preserve"> </w:t>
      </w:r>
      <w:r w:rsidRPr="00330B61">
        <w:rPr>
          <w:color w:val="000000"/>
        </w:rPr>
        <w:t>characterizing both as threats to the sexual</w:t>
      </w:r>
      <w:r>
        <w:rPr>
          <w:color w:val="000000"/>
        </w:rPr>
        <w:t xml:space="preserve"> </w:t>
      </w:r>
      <w:r w:rsidRPr="00330B61">
        <w:rPr>
          <w:color w:val="000000"/>
        </w:rPr>
        <w:t>order of Europe</w:t>
      </w:r>
      <w:r>
        <w:rPr>
          <w:color w:val="000000"/>
        </w:rPr>
        <w:t xml:space="preserve">” </w:t>
      </w:r>
      <w:r w:rsidR="007303E3">
        <w:rPr>
          <w:color w:val="000000"/>
        </w:rPr>
        <w:t>(Indelicato and Lopes, 2024)</w:t>
      </w:r>
      <w:r>
        <w:rPr>
          <w:color w:val="000000"/>
        </w:rPr>
        <w:t xml:space="preserve">. Meanwhile, on the African continent, similar arguments are used toward politically opposite messaging, in anti-colonial discourses, where gender ideology is framed as a dangerous, Western import that threatens traditional gender roles. In Uganda, in particular, resistance against gender ideology has prompted a wave of anti-LGBT+ legislation, with one law penalizing what it calls “aggravated homosexuality” with the death penalty </w:t>
      </w:r>
      <w:r w:rsidR="007303E3">
        <w:rPr>
          <w:color w:val="000000"/>
        </w:rPr>
        <w:t>(BBC, 2023)</w:t>
      </w:r>
      <w:r>
        <w:rPr>
          <w:color w:val="000000"/>
        </w:rPr>
        <w:t>. Across these various political contexts, ranging from anti-immigrant to anti-West framings, gender ideology arguments tend to center on patriarchal arguments about the traditional sexual order.</w:t>
      </w:r>
    </w:p>
    <w:p w14:paraId="29F76591" w14:textId="1EAE02E5" w:rsidR="00826DFF" w:rsidRDefault="00826DFF" w:rsidP="00826DFF">
      <w:pPr>
        <w:rPr>
          <w:color w:val="000000"/>
        </w:rPr>
      </w:pPr>
      <w:r>
        <w:rPr>
          <w:color w:val="000000"/>
        </w:rPr>
        <w:t xml:space="preserve">In the USA, concerns over gender ideology have prompted a dramatic increase in legislation which limits the rights of trans people. Over the last five years, the number of proposed anti-trans bills each year has surpassed the last, with 2025 seeing over 1000 such bills being proposed in legislative houses across the country </w:t>
      </w:r>
      <w:r w:rsidR="007303E3">
        <w:rPr>
          <w:color w:val="000000"/>
        </w:rPr>
        <w:t>(Trans Legislation Tracker, 2025)</w:t>
      </w:r>
      <w:r>
        <w:rPr>
          <w:color w:val="000000"/>
        </w:rPr>
        <w:t xml:space="preserve">. Additionally, a series </w:t>
      </w:r>
      <w:r>
        <w:rPr>
          <w:color w:val="000000"/>
        </w:rPr>
        <w:t xml:space="preserve">of </w:t>
      </w:r>
      <w:sdt>
        <w:sdtPr>
          <w:tag w:val="goog_rdk_7"/>
          <w:id w:val="1645058012"/>
        </w:sdtPr>
        <w:sdtContent/>
      </w:sdt>
      <w:sdt>
        <w:sdtPr>
          <w:tag w:val="goog_rdk_8"/>
          <w:id w:val="1973881122"/>
        </w:sdtPr>
        <w:sdtContent/>
      </w:sdt>
      <w:sdt>
        <w:sdtPr>
          <w:tag w:val="goog_rdk_9"/>
          <w:id w:val="14076399"/>
        </w:sdtPr>
        <w:sdtContent/>
      </w:sdt>
      <w:r>
        <w:rPr>
          <w:color w:val="000000"/>
        </w:rPr>
        <w:t xml:space="preserve">Executive Orders have been released from the White House, containing titles that frame trans discrimination as the protection of women: “Defending Women </w:t>
      </w:r>
      <w:proofErr w:type="gramStart"/>
      <w:r>
        <w:rPr>
          <w:color w:val="000000"/>
        </w:rPr>
        <w:t>From</w:t>
      </w:r>
      <w:proofErr w:type="gramEnd"/>
      <w:r>
        <w:rPr>
          <w:color w:val="000000"/>
        </w:rPr>
        <w:t xml:space="preserve"> Gender Ideology Extremism </w:t>
      </w:r>
      <w:proofErr w:type="gramStart"/>
      <w:r>
        <w:rPr>
          <w:color w:val="000000"/>
        </w:rPr>
        <w:t>And</w:t>
      </w:r>
      <w:proofErr w:type="gramEnd"/>
      <w:r>
        <w:rPr>
          <w:color w:val="000000"/>
        </w:rPr>
        <w:t xml:space="preserve"> Restoring Biological Truth </w:t>
      </w:r>
      <w:proofErr w:type="gramStart"/>
      <w:r>
        <w:rPr>
          <w:color w:val="000000"/>
        </w:rPr>
        <w:t>To</w:t>
      </w:r>
      <w:proofErr w:type="gramEnd"/>
      <w:r>
        <w:rPr>
          <w:color w:val="000000"/>
        </w:rPr>
        <w:t xml:space="preserve"> </w:t>
      </w:r>
      <w:proofErr w:type="gramStart"/>
      <w:r>
        <w:rPr>
          <w:color w:val="000000"/>
        </w:rPr>
        <w:t>The</w:t>
      </w:r>
      <w:proofErr w:type="gramEnd"/>
      <w:r>
        <w:rPr>
          <w:color w:val="000000"/>
        </w:rPr>
        <w:t xml:space="preserve"> Federal Government” </w:t>
      </w:r>
      <w:r w:rsidR="007303E3">
        <w:rPr>
          <w:color w:val="000000"/>
        </w:rPr>
        <w:t xml:space="preserve">(2025) </w:t>
      </w:r>
      <w:r>
        <w:rPr>
          <w:color w:val="000000"/>
        </w:rPr>
        <w:t xml:space="preserve">and “Keeping Men Out of Women’s Sports” </w:t>
      </w:r>
      <w:proofErr w:type="gramStart"/>
      <w:r>
        <w:rPr>
          <w:color w:val="000000"/>
        </w:rPr>
        <w:t xml:space="preserve">the  </w:t>
      </w:r>
      <w:r w:rsidR="007303E3">
        <w:rPr>
          <w:color w:val="000000"/>
        </w:rPr>
        <w:t>(</w:t>
      </w:r>
      <w:proofErr w:type="gramEnd"/>
      <w:r w:rsidR="007303E3">
        <w:rPr>
          <w:color w:val="000000"/>
        </w:rPr>
        <w:t>2025)</w:t>
      </w:r>
      <w:r>
        <w:rPr>
          <w:color w:val="000000"/>
        </w:rPr>
        <w:t>. Similarly turn on the patriarchal logics seen in Europe and Africa, these initiatives, conclude that gender is “binary and biological”, and that so-called “biological” women need special and explicit protection from t</w:t>
      </w:r>
      <w:sdt>
        <w:sdtPr>
          <w:tag w:val="goog_rdk_11"/>
          <w:id w:val="-259468674"/>
        </w:sdtPr>
        <w:sdtContent/>
      </w:sdt>
      <w:r>
        <w:rPr>
          <w:color w:val="000000"/>
        </w:rPr>
        <w:t>rans women.</w:t>
      </w:r>
    </w:p>
    <w:p w14:paraId="532CE6FB" w14:textId="7435A470" w:rsidR="00826DFF" w:rsidRDefault="00826DFF" w:rsidP="00826DFF">
      <w:pPr>
        <w:rPr>
          <w:color w:val="000000"/>
        </w:rPr>
      </w:pPr>
      <w:r>
        <w:rPr>
          <w:color w:val="000000"/>
        </w:rPr>
        <w:t xml:space="preserve">Taking aim at the progressive view of gender as internal, one of these Executive Orders describes gender ideology as “an ever-shifting concept of self-assessed gender identity, permitting the false claim that males can identify as and thus become women and vice versa, and requiring all institutions of society to regard this false claim as true” </w:t>
      </w:r>
      <w:r w:rsidR="007303E3">
        <w:rPr>
          <w:color w:val="000000"/>
        </w:rPr>
        <w:t>(2025)</w:t>
      </w:r>
      <w:r>
        <w:rPr>
          <w:color w:val="000000"/>
        </w:rPr>
        <w:t xml:space="preserve">. This critique refers to the progressive view that gender identity is a subjective quality, an identification that is primarily internal rather than external. The Psychiatric Association, for example, defines gender identity an “inner sense” </w:t>
      </w:r>
      <w:proofErr w:type="gramStart"/>
      <w:r>
        <w:rPr>
          <w:color w:val="000000"/>
        </w:rPr>
        <w:t>of  “</w:t>
      </w:r>
      <w:proofErr w:type="gramEnd"/>
      <w:r>
        <w:rPr>
          <w:color w:val="000000"/>
        </w:rPr>
        <w:t xml:space="preserve">being a girl/woman, boy/man, some combination of both, or something else” </w:t>
      </w:r>
      <w:r w:rsidR="007303E3">
        <w:rPr>
          <w:color w:val="000000"/>
        </w:rPr>
        <w:t>(Drescher 2025)</w:t>
      </w:r>
      <w:r>
        <w:rPr>
          <w:color w:val="000000"/>
        </w:rPr>
        <w:t xml:space="preserve">. Similarly, the World Health Organization defines gender identity as “a person’s innate, deeply felt internal and individual experience of gender,” and contrasts it to biological sex, adding that gender identity “may or may not correspond to the person’s physiology or designated sex at birth” </w:t>
      </w:r>
      <w:r w:rsidR="007303E3">
        <w:rPr>
          <w:color w:val="000000"/>
        </w:rPr>
        <w:t>(World Health Organization, 2025)</w:t>
      </w:r>
      <w:r>
        <w:rPr>
          <w:color w:val="000000"/>
        </w:rPr>
        <w:t>.</w:t>
      </w:r>
    </w:p>
    <w:p w14:paraId="67C1CF7F" w14:textId="5A990D03" w:rsidR="00826DFF" w:rsidRDefault="00826DFF" w:rsidP="00826DFF">
      <w:pPr>
        <w:rPr>
          <w:color w:val="000000"/>
        </w:rPr>
      </w:pPr>
      <w:r>
        <w:rPr>
          <w:color w:val="000000"/>
        </w:rPr>
        <w:t xml:space="preserve">Trans Studies scholars, however, critique the progressive view, arguing that the concept of internalized gender inspires transphobic discrimination. For example, the progressive view of gender as an internal phenomenon influences transphobic reasoning on access to medical care, which questions why biological transition should be necessary if gender is an internal identification. Not only does this framing disempower those who seek medical transition, it also disregards other forms of transition, like name and pronoun changes, as part of trans identity. As others point out, many trans people choose not to undergo medical interventions and still identify as trans </w:t>
      </w:r>
      <w:r w:rsidR="007303E3">
        <w:rPr>
          <w:color w:val="000000"/>
        </w:rPr>
        <w:t>(Kirzinger et al., 2023)</w:t>
      </w:r>
      <w:r>
        <w:rPr>
          <w:color w:val="000000"/>
        </w:rPr>
        <w:t>. The view of gender as internal, having to do with personal identity, thus opens the door to discrimination against multiple kinds of transition, including biological and social forms of transition.</w:t>
      </w:r>
    </w:p>
    <w:p w14:paraId="02AA7A0B" w14:textId="4166641E" w:rsidR="00826DFF" w:rsidRPr="00826DFF" w:rsidRDefault="00826DFF" w:rsidP="00826DFF">
      <w:pPr>
        <w:rPr>
          <w:color w:val="000000"/>
        </w:rPr>
      </w:pPr>
      <w:r>
        <w:rPr>
          <w:color w:val="000000"/>
        </w:rPr>
        <w:t xml:space="preserve">According to this view, the right-wing push to disentangle gender from sex and to solidify sex as “binary and biological” is a reaction to the way that gender is conceptualized in trans affirming discourse on the left. One scholar, Andrea Long Chu </w:t>
      </w:r>
      <w:r w:rsidR="007303E3">
        <w:rPr>
          <w:color w:val="000000"/>
        </w:rPr>
        <w:t>(2024)</w:t>
      </w:r>
      <w:r>
        <w:rPr>
          <w:color w:val="000000"/>
        </w:rPr>
        <w:t xml:space="preserve">, claims that “The left must reckon with its part in this. It has hung trans rights on the thin peg of gender identity”. Chu, a trans woman, explains that the progressive, pro-trans movement has “largely failed to form a coherent </w:t>
      </w:r>
      <w:r>
        <w:rPr>
          <w:color w:val="000000"/>
        </w:rPr>
        <w:lastRenderedPageBreak/>
        <w:t xml:space="preserve">moral account of </w:t>
      </w:r>
      <w:r>
        <w:rPr>
          <w:i/>
          <w:iCs/>
          <w:color w:val="000000"/>
        </w:rPr>
        <w:t>why</w:t>
      </w:r>
      <w:r>
        <w:rPr>
          <w:color w:val="000000"/>
        </w:rPr>
        <w:t xml:space="preserve"> someone’s gender identity should justify the actual biological interventions that make up gender-affirming care” </w:t>
      </w:r>
      <w:r w:rsidR="007303E3">
        <w:rPr>
          <w:color w:val="000000"/>
        </w:rPr>
        <w:t>(2024)</w:t>
      </w:r>
      <w:r>
        <w:rPr>
          <w:color w:val="000000"/>
        </w:rPr>
        <w:t>.</w:t>
      </w:r>
      <w:bookmarkStart w:id="0" w:name="bookmark=id.11eoinsu7xl3" w:colFirst="0" w:colLast="0"/>
      <w:bookmarkStart w:id="1" w:name="bookmark=id.sr8s2hx8kz1" w:colFirst="0" w:colLast="0"/>
      <w:bookmarkEnd w:id="0"/>
      <w:bookmarkEnd w:id="1"/>
    </w:p>
    <w:p w14:paraId="7E9413DA" w14:textId="77777777" w:rsidR="00826DFF" w:rsidRPr="00826DFF" w:rsidRDefault="00826DFF" w:rsidP="00826DFF">
      <w:pPr>
        <w:rPr>
          <w:lang w:val="en-GB"/>
        </w:rPr>
      </w:pPr>
    </w:p>
    <w:p w14:paraId="5EA2FCBE" w14:textId="6AD005BD" w:rsidR="00826DFF" w:rsidRDefault="00826DFF" w:rsidP="00826DFF">
      <w:pPr>
        <w:pStyle w:val="Heading2"/>
        <w:rPr>
          <w:lang w:val="en-GB"/>
        </w:rPr>
      </w:pPr>
      <w:r>
        <w:rPr>
          <w:lang w:val="en-GB"/>
        </w:rPr>
        <w:t>Gender Categories</w:t>
      </w:r>
    </w:p>
    <w:p w14:paraId="00788106" w14:textId="0AE1971E" w:rsidR="00826DFF" w:rsidRDefault="00826DFF" w:rsidP="00826DFF">
      <w:pPr>
        <w:rPr>
          <w:color w:val="000000"/>
        </w:rPr>
      </w:pPr>
      <w:r>
        <w:rPr>
          <w:color w:val="000000"/>
        </w:rPr>
        <w:t xml:space="preserve">The progressive view of gender descends from a widely accepted theory that gender is a social and behavioral phenomenon rather than a biological reality. This theory, developed by Judith Butler </w:t>
      </w:r>
      <w:r w:rsidR="003D2698">
        <w:rPr>
          <w:color w:val="000000"/>
        </w:rPr>
        <w:t>(1990)</w:t>
      </w:r>
      <w:r>
        <w:rPr>
          <w:color w:val="000000"/>
        </w:rPr>
        <w:t xml:space="preserve"> as Gender Performativity theory in the early 1990s, dissolves the traditionally strict and causal relation between sex, gender, and sexuality. It stipulates that gender is not based on a biological reality, nor does it determine sexuality (e.g., with male gendered people preferring female gendered people). Rather, gender is an effect produced by</w:t>
      </w:r>
      <w:r>
        <w:rPr>
          <w:color w:val="FF0000"/>
        </w:rPr>
        <w:t xml:space="preserve"> </w:t>
      </w:r>
      <w:r>
        <w:rPr>
          <w:color w:val="000000"/>
        </w:rPr>
        <w:t>social norms and expectations, which manifests as a series of behaviors (1991).</w:t>
      </w:r>
    </w:p>
    <w:p w14:paraId="5739EF87" w14:textId="47E4D83F" w:rsidR="00826DFF" w:rsidRDefault="00826DFF" w:rsidP="00826DFF">
      <w:pPr>
        <w:rPr>
          <w:color w:val="000000"/>
        </w:rPr>
      </w:pPr>
      <w:r>
        <w:rPr>
          <w:color w:val="000000"/>
        </w:rPr>
        <w:t xml:space="preserve">In the 35 years since Butler’s theory was introduced, the definition of gender has moved away from biology and into psychological concepts of identity. The primacy of behavior and social roles (which, Bulter </w:t>
      </w:r>
      <w:r w:rsidR="003D2698">
        <w:rPr>
          <w:color w:val="000000"/>
        </w:rPr>
        <w:t>(1990)</w:t>
      </w:r>
      <w:r>
        <w:rPr>
          <w:color w:val="000000"/>
        </w:rPr>
        <w:t xml:space="preserve"> is careful to point out, are not at will, but deeply compelled by societal rules and expectations), loses ground to internal concepts of identity and identification. Gender as identity, an internal feeling or identification as male, female, a combination of the two, or nonbinary genders, thus becomes separated from gender as expression, which denotes the masculine, feminine, or androgynous traits that are visibly apparent and enacted. </w:t>
      </w:r>
    </w:p>
    <w:p w14:paraId="2EC9A61F" w14:textId="26A80640" w:rsidR="00826DFF" w:rsidRDefault="00826DFF" w:rsidP="00826DFF">
      <w:pPr>
        <w:rPr>
          <w:color w:val="000000"/>
        </w:rPr>
      </w:pPr>
      <w:r>
        <w:rPr>
          <w:color w:val="000000"/>
        </w:rPr>
        <w:t xml:space="preserve">Trans Studies scholar </w:t>
      </w:r>
      <w:proofErr w:type="spellStart"/>
      <w:r>
        <w:rPr>
          <w:color w:val="000000"/>
        </w:rPr>
        <w:t>Kadji</w:t>
      </w:r>
      <w:proofErr w:type="spellEnd"/>
      <w:r>
        <w:rPr>
          <w:color w:val="000000"/>
        </w:rPr>
        <w:t xml:space="preserve"> Amin </w:t>
      </w:r>
      <w:r w:rsidR="003D2698">
        <w:rPr>
          <w:color w:val="000000"/>
        </w:rPr>
        <w:t>(2022)</w:t>
      </w:r>
      <w:r>
        <w:rPr>
          <w:color w:val="000000"/>
        </w:rPr>
        <w:t xml:space="preserve"> refers to this splitting of internal identity from external appearance or expression as the “divergence model”.  According to Amin, the divergence model originally drives the split between the categories of “heterosexual” and “homosexual”, whereby “homosexual” was created first to encompass many variations of sex, gender, and sexuality non-conformity, while “heterosexual” was created by belatedly, in order to distinguish itself from “homosexual”. This view accords with that of sexual historiographers like Michel Foucault </w:t>
      </w:r>
      <w:r w:rsidR="003D2698">
        <w:rPr>
          <w:color w:val="000000"/>
        </w:rPr>
        <w:t xml:space="preserve">(1978) </w:t>
      </w:r>
      <w:r>
        <w:rPr>
          <w:color w:val="000000"/>
        </w:rPr>
        <w:t xml:space="preserve">and David Halperin </w:t>
      </w:r>
      <w:r w:rsidR="003D2698">
        <w:rPr>
          <w:color w:val="000000"/>
        </w:rPr>
        <w:t>(2002)</w:t>
      </w:r>
      <w:r>
        <w:rPr>
          <w:color w:val="000000"/>
        </w:rPr>
        <w:t xml:space="preserve"> who, tracing the categories further back into the 19</w:t>
      </w:r>
      <w:r w:rsidRPr="005114BD">
        <w:rPr>
          <w:color w:val="000000"/>
          <w:vertAlign w:val="superscript"/>
        </w:rPr>
        <w:t>th</w:t>
      </w:r>
      <w:r>
        <w:rPr>
          <w:color w:val="000000"/>
        </w:rPr>
        <w:t xml:space="preserve"> century, explain that “heterosexual” as a category is a necessary contrast to that of “homosexual”, which was originally described as psychological pathology, such as in the work of early sexologists, Richard von Krafft-Ebing </w:t>
      </w:r>
      <w:r w:rsidR="003D2698">
        <w:rPr>
          <w:color w:val="000000"/>
        </w:rPr>
        <w:t>(1893)</w:t>
      </w:r>
      <w:r>
        <w:rPr>
          <w:color w:val="000000"/>
        </w:rPr>
        <w:t xml:space="preserve"> and Havelock Ellis </w:t>
      </w:r>
      <w:r w:rsidR="00534E21">
        <w:rPr>
          <w:color w:val="000000"/>
        </w:rPr>
        <w:t>(1900)</w:t>
      </w:r>
      <w:r>
        <w:rPr>
          <w:color w:val="000000"/>
        </w:rPr>
        <w:t>.</w:t>
      </w:r>
    </w:p>
    <w:p w14:paraId="348875A9" w14:textId="4C2DF8C2" w:rsidR="00826DFF" w:rsidRDefault="00826DFF" w:rsidP="00826DFF">
      <w:pPr>
        <w:rPr>
          <w:color w:val="000000"/>
        </w:rPr>
      </w:pPr>
      <w:r>
        <w:rPr>
          <w:color w:val="000000"/>
        </w:rPr>
        <w:t xml:space="preserve">Subsequently, the divergence model which created the heterosexual category also created the cisgender category. As Amin </w:t>
      </w:r>
      <w:r w:rsidR="00534E21">
        <w:rPr>
          <w:color w:val="000000"/>
        </w:rPr>
        <w:t xml:space="preserve">(2022) </w:t>
      </w:r>
      <w:r>
        <w:rPr>
          <w:color w:val="000000"/>
        </w:rPr>
        <w:t xml:space="preserve">and Enke </w:t>
      </w:r>
      <w:r w:rsidR="00534E21">
        <w:rPr>
          <w:color w:val="000000"/>
        </w:rPr>
        <w:t xml:space="preserve">(2013) </w:t>
      </w:r>
      <w:r>
        <w:rPr>
          <w:color w:val="000000"/>
        </w:rPr>
        <w:t xml:space="preserve">argue, just as heterosexuality emerged as a response to homosexuality, so did the </w:t>
      </w:r>
      <w:sdt>
        <w:sdtPr>
          <w:tag w:val="goog_rdk_16"/>
          <w:id w:val="88517626"/>
        </w:sdtPr>
        <w:sdtContent/>
      </w:sdt>
      <w:r>
        <w:rPr>
          <w:color w:val="000000"/>
        </w:rPr>
        <w:t xml:space="preserve">concept of cisgender, which responds to the emergence of the term “transgender” in the </w:t>
      </w:r>
      <w:sdt>
        <w:sdtPr>
          <w:tag w:val="goog_rdk_17"/>
          <w:id w:val="-676316819"/>
        </w:sdtPr>
        <w:sdtContent/>
      </w:sdt>
      <w:sdt>
        <w:sdtPr>
          <w:tag w:val="goog_rdk_18"/>
          <w:id w:val="-1601970264"/>
        </w:sdtPr>
        <w:sdtContent/>
      </w:sdt>
      <w:r>
        <w:rPr>
          <w:color w:val="000000"/>
        </w:rPr>
        <w:t xml:space="preserve">1990s. Whereas the </w:t>
      </w:r>
      <w:r>
        <w:rPr>
          <w:color w:val="000000"/>
        </w:rPr>
        <w:t xml:space="preserve">concept of homosexuality used to incorporate gender-variant forms of sexuality, for example, forms of male femininity such as the “queen”, and of female masculinity such as the “butch”, the emergence of transgender offers a new category that can hold “all manner of gender-bending” </w:t>
      </w:r>
      <w:r w:rsidR="003D2698">
        <w:rPr>
          <w:color w:val="000000"/>
        </w:rPr>
        <w:t xml:space="preserve">(2022). </w:t>
      </w:r>
      <w:r>
        <w:rPr>
          <w:color w:val="000000"/>
        </w:rPr>
        <w:t xml:space="preserve">According to these scholars, it is not a coincidence that gay and lesbian rights begin to gain traction at the same time that the transgender identity becomes solidified: as the transgender category could now encompass non-normative gender expressions, it allows gender-conforming variants of “gay” and “lesbian” to attain more mainstream acceptance. </w:t>
      </w:r>
    </w:p>
    <w:p w14:paraId="143B523B" w14:textId="5DF25EA8" w:rsidR="00826DFF" w:rsidRDefault="00826DFF" w:rsidP="00826DFF">
      <w:r>
        <w:rPr>
          <w:color w:val="000000"/>
        </w:rPr>
        <w:t xml:space="preserve">The divergence model has, according to Amin </w:t>
      </w:r>
      <w:r w:rsidR="007303E3">
        <w:rPr>
          <w:color w:val="000000"/>
        </w:rPr>
        <w:t>(2022)</w:t>
      </w:r>
      <w:r>
        <w:rPr>
          <w:color w:val="000000"/>
        </w:rPr>
        <w:t>, created a domino effect where the normative, dominant gender is increasingly idealized and, as a result, divorced from bodily expression. In other words, dominant gender becomes both default and invisible—</w:t>
      </w:r>
      <w:r>
        <w:rPr>
          <w:i/>
          <w:iCs/>
          <w:color w:val="000000"/>
        </w:rPr>
        <w:t>unmarked</w:t>
      </w:r>
      <w:r>
        <w:rPr>
          <w:color w:val="000000"/>
        </w:rPr>
        <w:t xml:space="preserve"> as such. With each split, from homosexual/heterosexual to transgender/cisgender, the notion of gender identity becomes buried “deeper and deeper within the private recesses of the self, where it increasingly disavows any relation to the social” </w:t>
      </w:r>
      <w:r w:rsidR="007303E3">
        <w:rPr>
          <w:color w:val="000000"/>
        </w:rPr>
        <w:t>(2022)</w:t>
      </w:r>
      <w:r>
        <w:rPr>
          <w:color w:val="000000"/>
        </w:rPr>
        <w:t>. As an internal form, gender identity thus retains the privilege of being unnoticed from the outside.</w:t>
      </w:r>
      <w:sdt>
        <w:sdtPr>
          <w:tag w:val="goog_rdk_19"/>
          <w:id w:val="-204021908"/>
        </w:sdtPr>
        <w:sdtContent/>
      </w:sdt>
    </w:p>
    <w:p w14:paraId="205A0D08" w14:textId="02C9CC2C" w:rsidR="00826DFF" w:rsidRDefault="00826DFF" w:rsidP="00826DFF">
      <w:pPr>
        <w:rPr>
          <w:color w:val="000000"/>
        </w:rPr>
      </w:pPr>
      <w:r>
        <w:rPr>
          <w:color w:val="000000"/>
        </w:rPr>
        <w:t xml:space="preserve">The corollary to this effect is that non-normative genders become hyper-visible. Because gender is regarded as internal, dominant gender becomes invisible, while those genders which are non-normative become marked and stigmatized. In other words, designating gender as an </w:t>
      </w:r>
      <w:r w:rsidRPr="008E0500">
        <w:rPr>
          <w:color w:val="000000"/>
        </w:rPr>
        <w:t>identity</w:t>
      </w:r>
      <w:r>
        <w:rPr>
          <w:color w:val="000000"/>
        </w:rPr>
        <w:t xml:space="preserve"> that is invisible, that is not immediately apparent, effectively marginalizes any gender when it appears as external </w:t>
      </w:r>
      <w:r w:rsidRPr="008E0500">
        <w:rPr>
          <w:color w:val="000000"/>
        </w:rPr>
        <w:t>expression</w:t>
      </w:r>
      <w:r>
        <w:rPr>
          <w:color w:val="000000"/>
        </w:rPr>
        <w:t xml:space="preserve">. Amin </w:t>
      </w:r>
      <w:r w:rsidR="007303E3">
        <w:rPr>
          <w:color w:val="000000"/>
        </w:rPr>
        <w:t>(2022)</w:t>
      </w:r>
      <w:r>
        <w:rPr>
          <w:color w:val="000000"/>
        </w:rPr>
        <w:t xml:space="preserve"> offers a common example from homosexual culture, where gay men who are normatively masculine, sometimes called “</w:t>
      </w:r>
      <w:proofErr w:type="spellStart"/>
      <w:r>
        <w:rPr>
          <w:color w:val="000000"/>
        </w:rPr>
        <w:t>masc</w:t>
      </w:r>
      <w:proofErr w:type="spellEnd"/>
      <w:r>
        <w:rPr>
          <w:color w:val="000000"/>
        </w:rPr>
        <w:t>” or “butch” men, have higher social status than feminized gay men, “queens” and “fairies”, due to the cultural capital of masculinity. The more that non-normativity can be perceived in external ways, like the feminine appearance or mannerisms exhibited from a male-presenting person, the more that the person becomes recognized and stigmatized as other. Such stigmas are borne out in public life where, for example, masculine gay men are more likely to participate and achieve prominence over gay men who are visibly non-normative or gender-bending.</w:t>
      </w:r>
    </w:p>
    <w:p w14:paraId="4D046023" w14:textId="078C5670" w:rsidR="003D30C9" w:rsidRDefault="00826DFF" w:rsidP="006B5D44">
      <w:pPr>
        <w:rPr>
          <w:color w:val="000000"/>
        </w:rPr>
      </w:pPr>
      <w:r>
        <w:rPr>
          <w:color w:val="000000"/>
        </w:rPr>
        <w:t xml:space="preserve">Thus, according to this view, gender as an internal identity reinforces normative expressions of gender externally. And as a result, visibly non-normative genders have a higher likelihood of experiencing discrimination for their visible difference. Given this, one way to resist the effects of gender stigmatization is to embrace gender as an external and relational phenomenon. In other words, defining gender as </w:t>
      </w:r>
      <w:r>
        <w:rPr>
          <w:color w:val="000000"/>
        </w:rPr>
        <w:lastRenderedPageBreak/>
        <w:t>an external expression or behavior is more likely to make visible all genders. In the next section, I explore how two different gender bias frameworks might draw from the conception of gender as a visible and explicitly marked quality of identity.</w:t>
      </w:r>
      <w:bookmarkStart w:id="2" w:name="bookmark=id.6ad2j31op85m" w:colFirst="0" w:colLast="0"/>
      <w:bookmarkStart w:id="3" w:name="bookmark=id.amtf91v6sja" w:colFirst="0" w:colLast="0"/>
      <w:bookmarkEnd w:id="2"/>
      <w:bookmarkEnd w:id="3"/>
    </w:p>
    <w:p w14:paraId="745EC861" w14:textId="77777777" w:rsidR="00040139" w:rsidRPr="00826DFF" w:rsidRDefault="00040139" w:rsidP="006B5D44">
      <w:pPr>
        <w:rPr>
          <w:color w:val="000000"/>
        </w:rPr>
      </w:pPr>
    </w:p>
    <w:p w14:paraId="6A7A929E" w14:textId="03019CC9" w:rsidR="005A393C" w:rsidRPr="00432DCA" w:rsidRDefault="00040139" w:rsidP="000E60C2">
      <w:pPr>
        <w:pStyle w:val="Heading1"/>
        <w:rPr>
          <w:lang w:val="en-GB"/>
        </w:rPr>
      </w:pPr>
      <w:r>
        <w:rPr>
          <w:lang w:val="en-GB"/>
        </w:rPr>
        <w:t>Methods for Detecting and Mitigating Gender Bias</w:t>
      </w:r>
    </w:p>
    <w:p w14:paraId="5D1AB394" w14:textId="70E58610" w:rsidR="00040139" w:rsidRPr="00040139" w:rsidRDefault="00040139" w:rsidP="00040139">
      <w:pPr>
        <w:rPr>
          <w:lang w:val="en-GB"/>
        </w:rPr>
      </w:pPr>
      <w:r>
        <w:t>The paper n</w:t>
      </w:r>
      <w:r>
        <w:rPr>
          <w:color w:val="000000"/>
        </w:rPr>
        <w:t xml:space="preserve">ow turns to the close reading of two bias detection and mitigation frameworks, which are based in very different approaches, spanning qualitative and quantitative methods. It examines how the concept of gender as external, social, and expressive operates within each approach how it may influence its results. </w:t>
      </w:r>
    </w:p>
    <w:p w14:paraId="7EAB8840" w14:textId="77777777" w:rsidR="00040139" w:rsidRPr="00432DCA" w:rsidRDefault="00040139" w:rsidP="006B5D44">
      <w:pPr>
        <w:rPr>
          <w:lang w:val="en-GB"/>
        </w:rPr>
      </w:pPr>
    </w:p>
    <w:p w14:paraId="7457878E" w14:textId="782A64E7" w:rsidR="005A393C" w:rsidRPr="00432DCA" w:rsidRDefault="00040139" w:rsidP="00202DDF">
      <w:pPr>
        <w:pStyle w:val="Heading2"/>
        <w:rPr>
          <w:lang w:val="en-GB"/>
        </w:rPr>
      </w:pPr>
      <w:r>
        <w:rPr>
          <w:lang w:val="en-GB"/>
        </w:rPr>
        <w:t>Framework #1: TIDEs</w:t>
      </w:r>
    </w:p>
    <w:p w14:paraId="7AB3DB2D" w14:textId="3B5BAFCC" w:rsidR="00040139" w:rsidRDefault="00040139" w:rsidP="00040139">
      <w:pPr>
        <w:rPr>
          <w:color w:val="000000"/>
        </w:rPr>
      </w:pPr>
      <w:r>
        <w:rPr>
          <w:color w:val="000000"/>
        </w:rPr>
        <w:t xml:space="preserve">The first bias detection framework is called </w:t>
      </w:r>
      <w:r>
        <w:rPr>
          <w:b/>
          <w:bCs/>
          <w:color w:val="000000"/>
        </w:rPr>
        <w:t>Transphobia Identification in Digital Environments</w:t>
      </w:r>
      <w:r>
        <w:rPr>
          <w:color w:val="000000"/>
        </w:rPr>
        <w:t xml:space="preserve">, or TIDEs, developed by </w:t>
      </w:r>
      <w:proofErr w:type="spellStart"/>
      <w:r>
        <w:rPr>
          <w:color w:val="000000"/>
        </w:rPr>
        <w:t>Lameiro</w:t>
      </w:r>
      <w:proofErr w:type="spellEnd"/>
      <w:r>
        <w:rPr>
          <w:color w:val="000000"/>
        </w:rPr>
        <w:t xml:space="preserve"> et al. </w:t>
      </w:r>
      <w:r w:rsidR="00534E21">
        <w:rPr>
          <w:color w:val="000000"/>
        </w:rPr>
        <w:t xml:space="preserve">(2025). </w:t>
      </w:r>
      <w:r>
        <w:rPr>
          <w:color w:val="000000"/>
        </w:rPr>
        <w:t xml:space="preserve">TIDEs </w:t>
      </w:r>
      <w:proofErr w:type="gramStart"/>
      <w:r>
        <w:rPr>
          <w:color w:val="000000"/>
        </w:rPr>
        <w:t>comprises</w:t>
      </w:r>
      <w:proofErr w:type="gramEnd"/>
      <w:r>
        <w:rPr>
          <w:color w:val="000000"/>
        </w:rPr>
        <w:t xml:space="preserve"> a dataset and a language model that detects trans bias in language. Building from the framework of a “trans technology,” a “technology that addresses the unique needs and challenges faced by trans people and communities” </w:t>
      </w:r>
      <w:r w:rsidR="00534E21">
        <w:rPr>
          <w:color w:val="000000"/>
        </w:rPr>
        <w:t>(</w:t>
      </w:r>
      <w:proofErr w:type="spellStart"/>
      <w:r w:rsidR="00534E21">
        <w:rPr>
          <w:color w:val="000000"/>
        </w:rPr>
        <w:t>Haimson</w:t>
      </w:r>
      <w:proofErr w:type="spellEnd"/>
      <w:r w:rsidR="00534E21">
        <w:rPr>
          <w:color w:val="000000"/>
        </w:rPr>
        <w:t>, 2025)</w:t>
      </w:r>
      <w:r>
        <w:rPr>
          <w:color w:val="000000"/>
        </w:rPr>
        <w:t xml:space="preserve">, this project centers trans expertise in the detection and mitigation of transphobic language. This project incorporates trans and nonbinary experience and expertise into the data labelling work, as part of what the researchers call “care-centered data practices”, in which trans and nonbinary data labelers were chosen due to their “personal experience with encountering and detecting online transphobia” </w:t>
      </w:r>
      <w:r w:rsidR="00534E21">
        <w:rPr>
          <w:color w:val="000000"/>
        </w:rPr>
        <w:t>(</w:t>
      </w:r>
      <w:proofErr w:type="spellStart"/>
      <w:r w:rsidR="00534E21">
        <w:rPr>
          <w:color w:val="000000"/>
        </w:rPr>
        <w:t>Lameiro</w:t>
      </w:r>
      <w:proofErr w:type="spellEnd"/>
      <w:r w:rsidR="00534E21">
        <w:rPr>
          <w:color w:val="000000"/>
        </w:rPr>
        <w:t xml:space="preserve"> et al., 2025).</w:t>
      </w:r>
    </w:p>
    <w:p w14:paraId="729CE2BF" w14:textId="77777777" w:rsidR="00040139" w:rsidRDefault="00040139" w:rsidP="00040139">
      <w:pPr>
        <w:rPr>
          <w:color w:val="000000"/>
        </w:rPr>
      </w:pPr>
      <w:r>
        <w:rPr>
          <w:color w:val="000000"/>
        </w:rPr>
        <w:t>The researchers aimed to create a dataset representing varied forms of transphobia, in particular, forms that are relatively more difficult to detect, like “</w:t>
      </w:r>
      <w:proofErr w:type="spellStart"/>
      <w:r>
        <w:rPr>
          <w:color w:val="000000"/>
        </w:rPr>
        <w:t>TERFism</w:t>
      </w:r>
      <w:proofErr w:type="spellEnd"/>
      <w:r>
        <w:rPr>
          <w:color w:val="000000"/>
        </w:rPr>
        <w:t xml:space="preserve">”, i.e., “trans exclusionary radical feminism”. TERF perspectives are difficult to detect because they identify as feminist despite negating the rights of trans women and girls. The dataset consists of labels of “transphobic” and “not transphobic” over a variety of text samples, which are scraped from Tumblr, Truth Social, YouTube, and Reddit. The data labeling takes into account not only the content of the sample, but also its tone and perspective. For example, the following sample, “Transgender females are actually biological males. They should not be allowed to compete in </w:t>
      </w:r>
      <w:proofErr w:type="spellStart"/>
      <w:r>
        <w:rPr>
          <w:color w:val="000000"/>
        </w:rPr>
        <w:t>womens’</w:t>
      </w:r>
      <w:proofErr w:type="spellEnd"/>
      <w:r>
        <w:rPr>
          <w:color w:val="000000"/>
        </w:rPr>
        <w:t xml:space="preserve"> sports. Period!” is labelled as “transphobic”, while another one on a similar topic, “Transgender Swimmer Lia Thomas Booted </w:t>
      </w:r>
      <w:proofErr w:type="gramStart"/>
      <w:r>
        <w:rPr>
          <w:color w:val="000000"/>
        </w:rPr>
        <w:t>From</w:t>
      </w:r>
      <w:proofErr w:type="gramEnd"/>
      <w:r>
        <w:rPr>
          <w:color w:val="000000"/>
        </w:rPr>
        <w:t xml:space="preserve"> Olympics After Losing Legal Case”, is labelled as “not transphobic”.</w:t>
      </w:r>
    </w:p>
    <w:p w14:paraId="0AC8C7A2" w14:textId="11B9EA9B" w:rsidR="00040139" w:rsidRDefault="00040139" w:rsidP="00040139">
      <w:pPr>
        <w:rPr>
          <w:color w:val="000000"/>
        </w:rPr>
      </w:pPr>
      <w:r>
        <w:rPr>
          <w:color w:val="000000"/>
        </w:rPr>
        <w:t xml:space="preserve">The careful data labelling work was aided by a detailed coding schema, which distinguishes </w:t>
      </w:r>
      <w:r>
        <w:rPr>
          <w:color w:val="000000"/>
        </w:rPr>
        <w:t>between various kinds of transphobia, such as “misgendering”, “medical”, and “</w:t>
      </w:r>
      <w:proofErr w:type="spellStart"/>
      <w:r>
        <w:rPr>
          <w:color w:val="000000"/>
        </w:rPr>
        <w:t>dogwhistles</w:t>
      </w:r>
      <w:proofErr w:type="spellEnd"/>
      <w:r>
        <w:rPr>
          <w:color w:val="000000"/>
        </w:rPr>
        <w:t xml:space="preserve">”, among others </w:t>
      </w:r>
      <w:r w:rsidR="00534E21">
        <w:rPr>
          <w:color w:val="000000"/>
        </w:rPr>
        <w:t>(</w:t>
      </w:r>
      <w:proofErr w:type="spellStart"/>
      <w:r w:rsidR="00534E21">
        <w:rPr>
          <w:color w:val="000000"/>
        </w:rPr>
        <w:t>Lameiro</w:t>
      </w:r>
      <w:proofErr w:type="spellEnd"/>
      <w:r w:rsidR="00534E21">
        <w:rPr>
          <w:color w:val="000000"/>
        </w:rPr>
        <w:t xml:space="preserve"> et al., 2025). </w:t>
      </w:r>
      <w:r>
        <w:rPr>
          <w:color w:val="000000"/>
        </w:rPr>
        <w:t>This approach demonstrates that detecting transphobia requires attention not only to the content of the samples but also to cultural and rhetorical cues contained in language. By centering trans and nonbinary expertise through care-centered data practices, the project addresses limitations that other content moderation systems may otherwise miss.</w:t>
      </w:r>
    </w:p>
    <w:p w14:paraId="4A073911" w14:textId="77777777" w:rsidR="00040139" w:rsidRDefault="00040139" w:rsidP="00040139">
      <w:pPr>
        <w:rPr>
          <w:color w:val="000000"/>
        </w:rPr>
      </w:pPr>
      <w:r>
        <w:rPr>
          <w:color w:val="000000"/>
        </w:rPr>
        <w:t>As the TIDEs researchers explain, deciding whether a sample is transphobic is not a straightforward process. Like other kinds of social bias, transphobia may only be legible through tones of irony and other rhetorical contexts that can be difficult to detect. For example, the following text is labelled as “not transphobic”, despite representing a transphobic point of view on the surface:</w:t>
      </w:r>
    </w:p>
    <w:p w14:paraId="632D6FE2" w14:textId="77777777" w:rsidR="00040139" w:rsidRDefault="00040139" w:rsidP="00040139">
      <w:pPr>
        <w:ind w:left="708"/>
        <w:rPr>
          <w:color w:val="000000"/>
        </w:rPr>
      </w:pPr>
      <w:r>
        <w:rPr>
          <w:color w:val="000000"/>
        </w:rPr>
        <w:t>Hey guys, I just wanted to get your opinion on this:</w:t>
      </w:r>
    </w:p>
    <w:p w14:paraId="46A08AE6" w14:textId="77777777" w:rsidR="00040139" w:rsidRDefault="00040139" w:rsidP="00040139">
      <w:pPr>
        <w:ind w:left="708"/>
        <w:rPr>
          <w:color w:val="000000"/>
        </w:rPr>
      </w:pPr>
      <w:r>
        <w:rPr>
          <w:color w:val="000000"/>
        </w:rPr>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085658B7" w14:textId="77777777" w:rsidR="00040139" w:rsidRDefault="00040139" w:rsidP="00040139">
      <w:pPr>
        <w:ind w:left="708"/>
        <w:rPr>
          <w:color w:val="000000"/>
        </w:rPr>
      </w:pPr>
      <w:r>
        <w:rPr>
          <w:color w:val="000000"/>
        </w:rPr>
        <w:t>[…] but here is the thing: people look at me like I’m crazy for asking! What the hell is up with that? I even had one girl tell me I was a totally creep!</w:t>
      </w:r>
    </w:p>
    <w:p w14:paraId="0CC4E4C0" w14:textId="77777777" w:rsidR="00040139" w:rsidRDefault="00040139" w:rsidP="00040139">
      <w:pPr>
        <w:ind w:left="708"/>
        <w:rPr>
          <w:color w:val="000000"/>
        </w:rPr>
      </w:pPr>
      <w:r>
        <w:rPr>
          <w:color w:val="000000"/>
        </w:rPr>
        <w:t>Does this stuff happen to you?</w:t>
      </w:r>
    </w:p>
    <w:p w14:paraId="6FE899F0" w14:textId="77777777" w:rsidR="00040139" w:rsidRDefault="00040139" w:rsidP="00040139">
      <w:pPr>
        <w:ind w:left="708"/>
        <w:rPr>
          <w:color w:val="000000"/>
        </w:rPr>
      </w:pPr>
      <w:r>
        <w:rPr>
          <w:color w:val="000000"/>
        </w:rPr>
        <w:t>/</w:t>
      </w:r>
      <w:proofErr w:type="gramStart"/>
      <w:r>
        <w:rPr>
          <w:color w:val="000000"/>
        </w:rPr>
        <w:t>ok</w:t>
      </w:r>
      <w:proofErr w:type="gramEnd"/>
      <w:r>
        <w:rPr>
          <w:color w:val="000000"/>
        </w:rPr>
        <w:t xml:space="preserve"> </w:t>
      </w:r>
      <w:proofErr w:type="spellStart"/>
      <w:r>
        <w:rPr>
          <w:color w:val="000000"/>
        </w:rPr>
        <w:t>transjerkers</w:t>
      </w:r>
      <w:proofErr w:type="spellEnd"/>
      <w:r>
        <w:rPr>
          <w:color w:val="000000"/>
        </w:rPr>
        <w:t xml:space="preserve"> I’m done for a little while, fuck it’s nice to vent</w:t>
      </w:r>
    </w:p>
    <w:p w14:paraId="05D67799" w14:textId="77777777" w:rsidR="00040139" w:rsidRDefault="00040139" w:rsidP="00040139">
      <w:pPr>
        <w:rPr>
          <w:color w:val="000000"/>
        </w:rPr>
      </w:pPr>
      <w:r>
        <w:rPr>
          <w:color w:val="000000"/>
        </w:rPr>
        <w:t>Because this text seems to parrot a transphobic perspective, which demands verification of a person’s biological details, it could be rightly labelled as such. Detecting this post correctly as “not transphobic” relies on recognizing its irony which, though suggested through its tone of enforced sincerity, is only confirmed at the end, with the assertion that “it’s nice to vent”. Additionally, the reference to “</w:t>
      </w:r>
      <w:proofErr w:type="spellStart"/>
      <w:r>
        <w:rPr>
          <w:color w:val="000000"/>
        </w:rPr>
        <w:t>transjerkers</w:t>
      </w:r>
      <w:proofErr w:type="spellEnd"/>
      <w:r>
        <w:rPr>
          <w:color w:val="000000"/>
        </w:rPr>
        <w:t xml:space="preserve">”, an in-group moniker for a trans-dominated subreddit that emphasizes parody, also offers a clue to those who are already familiar with this online community. Therefore, the only hints that this text is </w:t>
      </w:r>
      <w:r>
        <w:rPr>
          <w:i/>
          <w:iCs/>
          <w:color w:val="000000"/>
        </w:rPr>
        <w:t>not</w:t>
      </w:r>
      <w:r>
        <w:rPr>
          <w:color w:val="000000"/>
        </w:rPr>
        <w:t xml:space="preserve"> transphobic may be missed by those who lack the in-group cultural knowledge and language cues.</w:t>
      </w:r>
    </w:p>
    <w:p w14:paraId="0DFC495B" w14:textId="77777777" w:rsidR="00040139" w:rsidRDefault="00040139" w:rsidP="00040139">
      <w:pPr>
        <w:rPr>
          <w:color w:val="000000"/>
        </w:rPr>
      </w:pPr>
      <w:r>
        <w:rPr>
          <w:color w:val="000000"/>
        </w:rPr>
        <w:t>Contrast this example with one that also uses a supplicating and sincere tone, but with the purpose of making a serious request. This post, which is also drawn from reddit, asks for advice on gender presentation:</w:t>
      </w:r>
    </w:p>
    <w:p w14:paraId="3B956E5C" w14:textId="77777777" w:rsidR="00040139" w:rsidRDefault="00040139" w:rsidP="00040139">
      <w:pPr>
        <w:ind w:left="708"/>
        <w:rPr>
          <w:color w:val="000000"/>
        </w:rPr>
      </w:pPr>
      <w:r>
        <w:rPr>
          <w:color w:val="000000"/>
        </w:rPr>
        <w:lastRenderedPageBreak/>
        <w:t xml:space="preserve">Hey! I’m going through some gender experimentation, so I’d like to tap into masculinity for </w:t>
      </w:r>
      <w:sdt>
        <w:sdtPr>
          <w:tag w:val="goog_rdk_20"/>
          <w:id w:val="-38513176"/>
        </w:sdtPr>
        <w:sdtContent/>
      </w:sdt>
      <w:proofErr w:type="spellStart"/>
      <w:proofErr w:type="gramStart"/>
      <w:r>
        <w:rPr>
          <w:color w:val="000000"/>
        </w:rPr>
        <w:t>awhile</w:t>
      </w:r>
      <w:proofErr w:type="spellEnd"/>
      <w:r>
        <w:rPr>
          <w:color w:val="000000"/>
        </w:rPr>
        <w:t>(</w:t>
      </w:r>
      <w:proofErr w:type="gramEnd"/>
      <w:r>
        <w:rPr>
          <w:color w:val="000000"/>
        </w:rPr>
        <w:t xml:space="preserve">usually [sic] I identify as just pure androgynous, but I struggle with pulling that off). So, to begin with, I’ll try to master visual/behavioral androgyny first. I have long hair but don’t want to cut </w:t>
      </w:r>
      <w:proofErr w:type="gramStart"/>
      <w:r>
        <w:rPr>
          <w:color w:val="000000"/>
        </w:rPr>
        <w:t>it(</w:t>
      </w:r>
      <w:proofErr w:type="gramEnd"/>
      <w:r>
        <w:rPr>
          <w:color w:val="000000"/>
        </w:rPr>
        <w:t>a [sic]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6E07DA5D" w14:textId="77777777" w:rsidR="00040139" w:rsidRDefault="00040139" w:rsidP="00040139">
      <w:pPr>
        <w:rPr>
          <w:color w:val="000000"/>
        </w:rPr>
      </w:pPr>
      <w:r>
        <w:rPr>
          <w:color w:val="000000"/>
        </w:rPr>
        <w:t>Both this sample and the previous one are labeled as “not transphobic”. And like the previous sample, the writer here uses a supplicating tone to ask for advice. The tone by itself, therefore, does not influence the label of “not transphobic” in this case. Rather, the difference has to do with the rhetorical context. While the previous sample is written as parody, this one likely represents a serious request. The necessity of data labelers with insider knowledge thus becomes paramount.</w:t>
      </w:r>
    </w:p>
    <w:p w14:paraId="6A726413" w14:textId="77777777" w:rsidR="00040139" w:rsidRDefault="00040139" w:rsidP="00040139">
      <w:pPr>
        <w:rPr>
          <w:color w:val="000000"/>
        </w:rPr>
      </w:pPr>
      <w:r>
        <w:rPr>
          <w:color w:val="000000"/>
        </w:rPr>
        <w:t xml:space="preserve">Both of these samples also show how language related to physical aspects of gender presentation is prone to being read as discrimination. Despite their different valences, one ironic and the other genuine, both samples associate gender with physical presentation: in the first, there is a reference to genitalia, and in the second, references to gendered hair and dress. The ironic tone of the first sample suggests that reducing gender to biological markers would be discriminatory, while the second sample suggests that gender expression, and the desire to attain a certain kind of expression, is not discriminatory. </w:t>
      </w:r>
    </w:p>
    <w:p w14:paraId="477D0677" w14:textId="41762E61" w:rsidR="00040139" w:rsidRDefault="00040139" w:rsidP="006B5D44">
      <w:pPr>
        <w:rPr>
          <w:color w:val="000000"/>
        </w:rPr>
      </w:pPr>
      <w:r>
        <w:rPr>
          <w:color w:val="000000"/>
        </w:rPr>
        <w:t>Although the data labelling for this project sorts examples into a binary schema, into the categories of “transphobic” or “not transphobic”, it is done in a way that attends to nuanced manifestations of transphobia. Trained on enough of these carefully labeled examples, the resulting model would likely pick up on some of these subtle rhetorical cues.</w:t>
      </w:r>
    </w:p>
    <w:p w14:paraId="673A82C2" w14:textId="77777777" w:rsidR="00040139" w:rsidRDefault="00040139" w:rsidP="006B5D44">
      <w:pPr>
        <w:rPr>
          <w:color w:val="000000"/>
        </w:rPr>
      </w:pPr>
    </w:p>
    <w:p w14:paraId="7D131C47" w14:textId="57944EE1" w:rsidR="00040139" w:rsidRPr="00432DCA" w:rsidRDefault="00040139" w:rsidP="00040139">
      <w:pPr>
        <w:pStyle w:val="Heading2"/>
        <w:rPr>
          <w:lang w:val="en-GB"/>
        </w:rPr>
      </w:pPr>
      <w:r>
        <w:rPr>
          <w:lang w:val="en-GB"/>
        </w:rPr>
        <w:t>Framework #2: EQUITBL</w:t>
      </w:r>
    </w:p>
    <w:p w14:paraId="6F20AAE1" w14:textId="14C0E43A" w:rsidR="00040139" w:rsidRDefault="00040139" w:rsidP="00040139">
      <w:pPr>
        <w:rPr>
          <w:color w:val="000000"/>
        </w:rPr>
      </w:pPr>
      <w:r>
        <w:rPr>
          <w:color w:val="000000"/>
        </w:rPr>
        <w:t xml:space="preserve">EQUITBL, the </w:t>
      </w:r>
      <w:r>
        <w:rPr>
          <w:b/>
          <w:bCs/>
          <w:color w:val="000000"/>
        </w:rPr>
        <w:t>Explore, Query, &amp; Understand Implicit Textual Bias in Language data</w:t>
      </w:r>
      <w:r>
        <w:rPr>
          <w:color w:val="000000"/>
        </w:rPr>
        <w:t xml:space="preserve"> project</w:t>
      </w:r>
      <w:r w:rsidR="003D2698">
        <w:rPr>
          <w:color w:val="000000"/>
        </w:rPr>
        <w:t xml:space="preserve"> (Devinney et al., 2024)</w:t>
      </w:r>
      <w:r>
        <w:rPr>
          <w:color w:val="000000"/>
        </w:rPr>
        <w:t xml:space="preserve"> uses a mixed-methods approach to analyze social bias in language, which deliberately addresses bias toward trans and nonbinary identities. This project combines text generation, topic modelling, and close reading methodologies to examine “stereotypes, hegemonic norms, [and] erasure of identity” across identity groups </w:t>
      </w:r>
      <w:r w:rsidR="00534E21">
        <w:rPr>
          <w:color w:val="000000"/>
        </w:rPr>
        <w:t>(Devinney et al., 2024).</w:t>
      </w:r>
    </w:p>
    <w:p w14:paraId="386E56D0" w14:textId="0026F91C" w:rsidR="00040139" w:rsidRDefault="00040139" w:rsidP="00040139">
      <w:pPr>
        <w:rPr>
          <w:color w:val="000000"/>
        </w:rPr>
      </w:pPr>
      <w:r>
        <w:rPr>
          <w:color w:val="000000"/>
        </w:rPr>
        <w:t xml:space="preserve">Unlike TIDEs, which is a binary classification method, this method emphasizes a qualitative approach. Built from a practice that the researchers developed in a previous paper, which proposes a “combination of quantitative and qualitative methods, where the quantitative part produces a view of the data of a size suitable for qualitative analysis” </w:t>
      </w:r>
      <w:r w:rsidR="00534E21">
        <w:rPr>
          <w:color w:val="000000"/>
        </w:rPr>
        <w:t xml:space="preserve">(Devinney et al., 2020) </w:t>
      </w:r>
      <w:r w:rsidR="00E25F01">
        <w:rPr>
          <w:color w:val="000000"/>
        </w:rPr>
        <w:t>EQUITBL</w:t>
      </w:r>
      <w:r>
        <w:rPr>
          <w:color w:val="000000"/>
        </w:rPr>
        <w:t xml:space="preserve"> expands its methodology to include text generation and close reading. In brief, the process involves prompting both English and Swedish language models using a set of templates designed to generate narratives about various identity groups. The resulting narratives are then fed to a topic model, which will organize them into topics. Finally, the researchers extract a sample of </w:t>
      </w:r>
      <w:sdt>
        <w:sdtPr>
          <w:tag w:val="goog_rdk_21"/>
          <w:id w:val="-2080835273"/>
        </w:sdtPr>
        <w:sdtContent/>
      </w:sdt>
      <w:r>
        <w:rPr>
          <w:color w:val="000000"/>
        </w:rPr>
        <w:t>narratives for each topic and proceed with close reading analysis, which is the main focus of the experiment.</w:t>
      </w:r>
    </w:p>
    <w:p w14:paraId="700DE0EB" w14:textId="41B9B409" w:rsidR="00040139" w:rsidRDefault="00040139" w:rsidP="00040139">
      <w:pPr>
        <w:rPr>
          <w:color w:val="000000"/>
        </w:rPr>
      </w:pPr>
      <w:r>
        <w:rPr>
          <w:color w:val="000000"/>
        </w:rPr>
        <w:t xml:space="preserve">The templates for prompting the language models consist of three components: first, an imperative phrase asking the model to “write a story about” or “write a description of”, followed by the subject of the narrative, and closing with a predicate </w:t>
      </w:r>
      <w:r w:rsidR="00534E21">
        <w:rPr>
          <w:color w:val="000000"/>
        </w:rPr>
        <w:t>(Devinney et al., 2024)</w:t>
      </w:r>
      <w:r>
        <w:rPr>
          <w:color w:val="000000"/>
        </w:rPr>
        <w:t>. The templates cycle through different racial and gender identities, religions, and predicates to create a varied set of prompts. Possible variations include, “a Black Christian at the doctor’s office,” “a trans Muslim with a special skill,” “a white nonbinary person with tears running down their face.” The prompts thus create a diverse set of stories with protagonists spanning various subject positions, represented in both positive, negative, and neutral contexts.</w:t>
      </w:r>
    </w:p>
    <w:p w14:paraId="49356CEE" w14:textId="00040080" w:rsidR="00040139" w:rsidRDefault="00040139" w:rsidP="00040139">
      <w:pPr>
        <w:rPr>
          <w:color w:val="000000"/>
        </w:rPr>
      </w:pPr>
      <w:r>
        <w:rPr>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being incentivized to chase ‘better’ scores” </w:t>
      </w:r>
      <w:r w:rsidR="00534E21">
        <w:rPr>
          <w:color w:val="000000"/>
        </w:rPr>
        <w:t>(Devinney et al., 2024)</w:t>
      </w:r>
      <w:r>
        <w:rPr>
          <w:color w:val="000000"/>
        </w:rPr>
        <w:t>. This metric consists of a series of questions that the researcher uses to guide close reading, including “How are people and bodies described?” and “Which stereotypes are used?”, as well as questions that interrogate gender’s relation to specific themes.</w:t>
      </w:r>
    </w:p>
    <w:p w14:paraId="39ADF737" w14:textId="460C4435" w:rsidR="00040139" w:rsidRDefault="00040139" w:rsidP="00040139">
      <w:pPr>
        <w:rPr>
          <w:color w:val="000000"/>
        </w:rPr>
      </w:pPr>
      <w:r>
        <w:rPr>
          <w:color w:val="000000"/>
        </w:rPr>
        <w:t xml:space="preserve">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which tend to end on a positive, “uplifting” note </w:t>
      </w:r>
      <w:r w:rsidR="00534E21">
        <w:rPr>
          <w:color w:val="000000"/>
        </w:rPr>
        <w:t>(Devinney et al., 2024)</w:t>
      </w:r>
      <w:r>
        <w:rPr>
          <w:color w:val="000000"/>
        </w:rPr>
        <w:t>.</w:t>
      </w:r>
    </w:p>
    <w:p w14:paraId="0EF1ADC2" w14:textId="6AE07AAA" w:rsidR="00040139" w:rsidRDefault="00040139" w:rsidP="00040139">
      <w:pPr>
        <w:rPr>
          <w:color w:val="000000"/>
        </w:rPr>
      </w:pPr>
      <w:r>
        <w:rPr>
          <w:color w:val="000000"/>
        </w:rPr>
        <w:lastRenderedPageBreak/>
        <w:t xml:space="preserve">Amid these perhaps unsurprising results, researchers note an unexpected pattern of refusal from the model, which declines to discuss certain topics and identity groups. In these refusals, the models claim that their programming instructions require them to either stay away from the topic of identity, which may promote “negative or derogatory language” </w:t>
      </w:r>
      <w:r w:rsidR="00534E21">
        <w:rPr>
          <w:color w:val="000000"/>
        </w:rPr>
        <w:t>(Devinney et al., 2024)</w:t>
      </w:r>
      <w:r>
        <w:rPr>
          <w:color w:val="000000"/>
        </w:rPr>
        <w:t>. This tendency to refuse is notably more pronounced in</w:t>
      </w:r>
      <w:r>
        <w:rPr>
          <w:color w:val="FF0000"/>
        </w:rPr>
        <w:t xml:space="preserve"> </w:t>
      </w:r>
      <w:r>
        <w:rPr>
          <w:color w:val="000000"/>
        </w:rPr>
        <w:t>prompts specifying marginalized groups, whereas dominant groups were more likely to be answered.</w:t>
      </w:r>
    </w:p>
    <w:p w14:paraId="22C59938" w14:textId="70A0B675" w:rsidR="00040139" w:rsidRDefault="00040139" w:rsidP="00040139">
      <w:pPr>
        <w:rPr>
          <w:color w:val="000000"/>
        </w:rPr>
      </w:pPr>
      <w:r>
        <w:rPr>
          <w:color w:val="000000"/>
        </w:rPr>
        <w:t xml:space="preserve">As the researchers point out, refusing to answer a prompt about a specific identity group is its own form of discrimination. Such refusals implicitly reinforce that only a select and dominant subset of identities are fit for discussion, while other, more marginalized groups are not. The researchers explain that, “The refusals themselves actually produce risk and harm. They suggest that the model likely cannot say anything nice, which is alarming when frequently repeated about minoritized groups” </w:t>
      </w:r>
      <w:r w:rsidR="00534E21">
        <w:rPr>
          <w:color w:val="000000"/>
        </w:rPr>
        <w:t>(Devinney et al., 2024).</w:t>
      </w:r>
    </w:p>
    <w:p w14:paraId="7B039FED" w14:textId="1BB6D5F9" w:rsidR="00040139" w:rsidRDefault="00040139" w:rsidP="00040139">
      <w:pPr>
        <w:rPr>
          <w:color w:val="000000"/>
        </w:rPr>
      </w:pPr>
      <w:r>
        <w:rPr>
          <w:color w:val="000000"/>
        </w:rPr>
        <w:t xml:space="preserve">However, there was an exception to the pattern of refusals, which concerned socially dominant groups. When identity markers from socially dominant groups were combined in an additive way, such as “white”, “Christian”, and “man” to form “a white Christian man”, the model was </w:t>
      </w:r>
      <w:r w:rsidRPr="00C146E0">
        <w:rPr>
          <w:color w:val="000000"/>
        </w:rPr>
        <w:t>more</w:t>
      </w:r>
      <w:r>
        <w:rPr>
          <w:color w:val="000000"/>
        </w:rPr>
        <w:t xml:space="preserve"> likely to refuse than similarly intersectional, though less dominant, identity combinations. For example, a model is more likely to refuse a prompt about a “white Christian man” than a “Black Christian man.” This quirk creates a strange effect where dominant groups were the most discussed, unless the identity of these groups were described in detail. Indeed, the researchers note, the least refused prompt was the phrase “a man,” while the most refused one was “a white Christian” </w:t>
      </w:r>
      <w:r w:rsidR="00534E21">
        <w:rPr>
          <w:color w:val="000000"/>
        </w:rPr>
        <w:t>(Devinney et al., 2024)</w:t>
      </w:r>
      <w:r>
        <w:rPr>
          <w:color w:val="000000"/>
        </w:rPr>
        <w:t>.</w:t>
      </w:r>
    </w:p>
    <w:p w14:paraId="3C20F843" w14:textId="53B5FCA3" w:rsidR="00040139" w:rsidRDefault="00040139" w:rsidP="00040139">
      <w:pPr>
        <w:rPr>
          <w:color w:val="000000"/>
        </w:rPr>
      </w:pPr>
      <w:r>
        <w:rPr>
          <w:color w:val="000000"/>
        </w:rPr>
        <w:t xml:space="preserve">This notable inversion of the usual pattern leads the researchers to call this group the </w:t>
      </w:r>
      <w:sdt>
        <w:sdtPr>
          <w:tag w:val="goog_rdk_22"/>
          <w:id w:val="-686315252"/>
        </w:sdtPr>
        <w:sdtContent/>
      </w:sdt>
      <w:r>
        <w:rPr>
          <w:color w:val="000000"/>
        </w:rPr>
        <w:t xml:space="preserve">“unmarked majority”, that is, the invisible but dominant majority. A lack of identity specification in the model prompts will lead the model to assume a dominant identity which, researchers explain, “is assumed to be a man, as well as likely white, straight, cisgender, and Christian” </w:t>
      </w:r>
      <w:r w:rsidR="00534E21">
        <w:rPr>
          <w:color w:val="000000"/>
        </w:rPr>
        <w:t>(Devinney et al., 2024)</w:t>
      </w:r>
      <w:r>
        <w:rPr>
          <w:color w:val="000000"/>
        </w:rPr>
        <w:t>. In an incisive speculation, the researchers posit that this “unmarked” quality of dominant identity groups explains why the model refuses to answer certain kinds of questions about them. Because such groups are “so often unmarked”, as the researchers explain, “specifying them draws extra attention to the concept of ‘identity,’ which the model has been discouraged from talking about”</w:t>
      </w:r>
      <w:bookmarkStart w:id="4" w:name="bookmark=id.9zhads7mbrj4" w:colFirst="0" w:colLast="0"/>
      <w:bookmarkStart w:id="5" w:name="bookmark=id.riw95mhlswi" w:colFirst="0" w:colLast="0"/>
      <w:bookmarkEnd w:id="4"/>
      <w:bookmarkEnd w:id="5"/>
      <w:r w:rsidR="003D2698">
        <w:rPr>
          <w:color w:val="000000"/>
        </w:rPr>
        <w:t xml:space="preserve"> (Devinney et al., 2024).</w:t>
      </w:r>
      <w:r>
        <w:rPr>
          <w:color w:val="000000"/>
        </w:rPr>
        <w:t xml:space="preserve"> In other words, due to their tendency of dominant groups be less visible, the model is more sensitive to naming them explicitly, making them more likely to refuse prompts that specify these groups.</w:t>
      </w:r>
    </w:p>
    <w:p w14:paraId="78BFDB46" w14:textId="77777777" w:rsidR="00040139" w:rsidRDefault="00040139" w:rsidP="00040139">
      <w:pPr>
        <w:rPr>
          <w:color w:val="000000"/>
        </w:rPr>
      </w:pPr>
    </w:p>
    <w:p w14:paraId="7F720E6D" w14:textId="5EEE2580" w:rsidR="00040139" w:rsidRPr="00432DCA" w:rsidRDefault="00040139" w:rsidP="00040139">
      <w:pPr>
        <w:pStyle w:val="Heading1"/>
        <w:rPr>
          <w:lang w:val="en-GB"/>
        </w:rPr>
      </w:pPr>
      <w:r>
        <w:rPr>
          <w:lang w:val="en-GB"/>
        </w:rPr>
        <w:t>Discussion</w:t>
      </w:r>
    </w:p>
    <w:p w14:paraId="47C881F0" w14:textId="0F63990E" w:rsidR="00040139" w:rsidRDefault="00040139" w:rsidP="00040139">
      <w:pPr>
        <w:rPr>
          <w:color w:val="000000"/>
        </w:rPr>
      </w:pPr>
      <w:r>
        <w:rPr>
          <w:color w:val="000000"/>
        </w:rPr>
        <w:t xml:space="preserve">As Amin </w:t>
      </w:r>
      <w:r w:rsidR="00534E21">
        <w:rPr>
          <w:color w:val="000000"/>
        </w:rPr>
        <w:t xml:space="preserve">(2022) </w:t>
      </w:r>
      <w:r>
        <w:rPr>
          <w:color w:val="000000"/>
        </w:rPr>
        <w:t xml:space="preserve">argues, due to the historical tendency of LGBTQ+-related categories to distinguish internal and idealized identities from visibly different ones, a kind of stigmatization accompanies non-normative genders that are externally expressed. Given this focus, how does gender as external presentation or behavior operate in the above frameworks for studying gender bias in NLP? In what follows, I discuss how these two gender bias evaluation frameworks engage with Trans Studies’ theorizing about external gender expression and how it relates to stigma. </w:t>
      </w:r>
    </w:p>
    <w:p w14:paraId="28ABA863" w14:textId="2E053EDC" w:rsidR="00040139" w:rsidRDefault="00040139" w:rsidP="00040139">
      <w:pPr>
        <w:rPr>
          <w:color w:val="000000"/>
        </w:rPr>
      </w:pPr>
      <w:r>
        <w:rPr>
          <w:color w:val="000000"/>
        </w:rPr>
        <w:t xml:space="preserve">The close examination of these two frameworks for detecting trans bias—TIDEs and </w:t>
      </w:r>
      <w:r w:rsidR="00E25F01">
        <w:rPr>
          <w:color w:val="000000"/>
        </w:rPr>
        <w:t>EQUITBL</w:t>
      </w:r>
      <w:r>
        <w:rPr>
          <w:color w:val="000000"/>
        </w:rPr>
        <w:t xml:space="preserve">—suggests that gender bias attaches to physical aspects and external qualities. Despite their contrasting approaches, with TIDEs relying on binary classification and </w:t>
      </w:r>
      <w:r w:rsidR="00E25F01">
        <w:rPr>
          <w:color w:val="000000"/>
        </w:rPr>
        <w:t>EQUITBL</w:t>
      </w:r>
      <w:r>
        <w:rPr>
          <w:color w:val="000000"/>
        </w:rPr>
        <w:t xml:space="preserve"> emphasizing qualitative analysis, both frameworks reinforce Amin’s </w:t>
      </w:r>
      <w:r w:rsidR="00534E21">
        <w:rPr>
          <w:color w:val="000000"/>
        </w:rPr>
        <w:t>(2022)</w:t>
      </w:r>
      <w:r>
        <w:rPr>
          <w:color w:val="000000"/>
        </w:rPr>
        <w:t xml:space="preserve"> point that stigma against gender tends to accompany physical and social aspects of gender presentation. In TIDEs, the ironic tone of the first sample suggests that biology is a site where trans people might experience discrimination. Meanwhile, in </w:t>
      </w:r>
      <w:r w:rsidR="00E25F01">
        <w:rPr>
          <w:color w:val="000000"/>
        </w:rPr>
        <w:t>EQUITBL</w:t>
      </w:r>
      <w:r>
        <w:rPr>
          <w:color w:val="000000"/>
        </w:rPr>
        <w:t>, the unmarked dominant subject reinforces an idealized normative gender, which is simultaneously default and invisible.</w:t>
      </w:r>
    </w:p>
    <w:p w14:paraId="1BDD2373" w14:textId="5FB90A7E" w:rsidR="00040139" w:rsidRDefault="00040139" w:rsidP="00040139">
      <w:r>
        <w:t xml:space="preserve">These insights are in contrast to most existing NLP methods for detecting and mitigating bias, which are driven by the assumption that gender equality means that genders ought to be interchangeable. Word embedding </w:t>
      </w:r>
      <w:r w:rsidR="00534E21">
        <w:t>(</w:t>
      </w:r>
      <w:proofErr w:type="spellStart"/>
      <w:r w:rsidR="00534E21">
        <w:t>Bolukbasi</w:t>
      </w:r>
      <w:proofErr w:type="spellEnd"/>
      <w:r w:rsidR="00534E21">
        <w:t xml:space="preserve"> 2016)</w:t>
      </w:r>
      <w:r>
        <w:t xml:space="preserve"> and Coreference Resolution tasks </w:t>
      </w:r>
      <w:r w:rsidR="00534E21">
        <w:t>(Rudinger 2018)</w:t>
      </w:r>
      <w:r>
        <w:t xml:space="preserve">, for example, are based on the idea that each of the genders ought to have equal associations with all attributes. For example, that a male gendered term ought to be as equally associated as a female gendered one to attributes such as “babysitter” or “computer programmer”. Meanwhile, other research </w:t>
      </w:r>
      <w:r w:rsidR="00534E21">
        <w:t>(Calado, 2025)</w:t>
      </w:r>
      <w:r>
        <w:t xml:space="preserve"> points out that such frameworks rely on a zero-sum logic that treats one gender as equivalent or interchangeable with the other, without considering how gender discrimination emerges from more complex associations between gender terms and social norms, such as systems of visibility.</w:t>
      </w:r>
    </w:p>
    <w:p w14:paraId="0E49699A" w14:textId="09E3EF16" w:rsidR="00040139" w:rsidRDefault="00040139" w:rsidP="00040139">
      <w:pPr>
        <w:rPr>
          <w:color w:val="000000"/>
        </w:rPr>
      </w:pPr>
      <w:r>
        <w:t xml:space="preserve">Rather than equalizing gender terms and attributes, the results from TIDEs and </w:t>
      </w:r>
      <w:r w:rsidR="00E25F01">
        <w:t>EQUITBL</w:t>
      </w:r>
      <w:r>
        <w:t xml:space="preserve"> suggest that </w:t>
      </w:r>
      <w:r w:rsidRPr="00062A46">
        <w:t>increasing</w:t>
      </w:r>
      <w:r>
        <w:t xml:space="preserve"> the frequency of references to less dominant genders might be a viable solution. Indeed, </w:t>
      </w:r>
      <w:r>
        <w:rPr>
          <w:color w:val="000000"/>
        </w:rPr>
        <w:t xml:space="preserve">existing evaluations of LLMs show that the most frequent and default subject category is the straight white male, and that other subject categories, like woman, black and homosexual are less prevalent in both </w:t>
      </w:r>
      <w:r>
        <w:rPr>
          <w:color w:val="000000"/>
        </w:rPr>
        <w:lastRenderedPageBreak/>
        <w:t xml:space="preserve">training data and model outputs </w:t>
      </w:r>
      <w:r w:rsidR="00534E21">
        <w:rPr>
          <w:color w:val="000000"/>
        </w:rPr>
        <w:t>(Guo et al., 2021)</w:t>
      </w:r>
      <w:r>
        <w:rPr>
          <w:color w:val="000000"/>
        </w:rPr>
        <w:t xml:space="preserve">. Additionally, research has also shown a correlation between the presence and frequency of certain identities in the training data and their association with positive and negative terms </w:t>
      </w:r>
      <w:r w:rsidR="00534E21">
        <w:rPr>
          <w:color w:val="000000"/>
        </w:rPr>
        <w:t>(Devinney et al., 2024)</w:t>
      </w:r>
      <w:r>
        <w:rPr>
          <w:color w:val="000000"/>
        </w:rPr>
        <w:t xml:space="preserve">: van Loon et al. </w:t>
      </w:r>
      <w:r w:rsidR="00534E21">
        <w:rPr>
          <w:color w:val="000000"/>
        </w:rPr>
        <w:t>(2022)</w:t>
      </w:r>
      <w:r>
        <w:rPr>
          <w:color w:val="000000"/>
        </w:rPr>
        <w:t xml:space="preserve">, in particular, find that the less frequently a group is named, the more negative the associations with that group. If a group’s relatively frequent presence in the training data has a positive effect on their representation, one might reasonably assume that making marginalized subjects </w:t>
      </w:r>
      <w:r>
        <w:rPr>
          <w:i/>
          <w:iCs/>
          <w:color w:val="000000"/>
        </w:rPr>
        <w:t>more frequent</w:t>
      </w:r>
      <w:r>
        <w:rPr>
          <w:color w:val="000000"/>
        </w:rPr>
        <w:t xml:space="preserve"> in the training data, to be on par with the frequency of representation of dominant subjects, may mitigate bias about these groups in model outputs. </w:t>
      </w:r>
    </w:p>
    <w:p w14:paraId="05796AD1" w14:textId="3FE0BF30" w:rsidR="00040139" w:rsidRDefault="00040139" w:rsidP="00040139">
      <w:pPr>
        <w:rPr>
          <w:color w:val="000000"/>
        </w:rPr>
      </w:pPr>
      <w:r>
        <w:rPr>
          <w:color w:val="000000"/>
        </w:rPr>
        <w:t xml:space="preserve">However, any solution must also take into account that the default subject is often unmarked. As et al. </w:t>
      </w:r>
      <w:r w:rsidR="00534E21">
        <w:rPr>
          <w:color w:val="000000"/>
        </w:rPr>
        <w:t xml:space="preserve">(2024) </w:t>
      </w:r>
      <w:r>
        <w:rPr>
          <w:color w:val="000000"/>
        </w:rPr>
        <w:t xml:space="preserve">point out, the majority of the texts about white male subjects were the ones least likely to describe that subject in external, physical terms. That is perhaps because of an inverse relationship between physical markers of identity and positions of social dominance, which Devinney et al.’s </w:t>
      </w:r>
      <w:r w:rsidR="00534E21">
        <w:rPr>
          <w:color w:val="000000"/>
        </w:rPr>
        <w:t>(2024)</w:t>
      </w:r>
      <w:r>
        <w:rPr>
          <w:color w:val="000000"/>
        </w:rPr>
        <w:t xml:space="preserve"> work bear out. </w:t>
      </w:r>
      <w:sdt>
        <w:sdtPr>
          <w:tag w:val="goog_rdk_26"/>
          <w:id w:val="401315046"/>
        </w:sdtPr>
        <w:sdtContent/>
      </w:sdt>
      <w:r>
        <w:rPr>
          <w:color w:val="000000"/>
        </w:rPr>
        <w:t xml:space="preserve">Here, fewer physical descriptions themselves mark social dominance. In those results, white women are described in physical terms only slightly more than white men, while marginalized identities are described in more detail than both groups </w:t>
      </w:r>
      <w:r w:rsidR="00534E21">
        <w:rPr>
          <w:color w:val="000000"/>
        </w:rPr>
        <w:t>(Devinney et al., 2924)</w:t>
      </w:r>
      <w:r>
        <w:rPr>
          <w:color w:val="000000"/>
        </w:rPr>
        <w:t xml:space="preserve">. These results suggest that the more that a person is described in physical terms, the more likely they come from a marginalized group. Increasing physical descriptions of marginalized subjects, then, may not help to mitigate negative associations with those groups. </w:t>
      </w:r>
    </w:p>
    <w:p w14:paraId="79390F93" w14:textId="77777777" w:rsidR="00040139" w:rsidRDefault="00040139" w:rsidP="00040139">
      <w:pPr>
        <w:rPr>
          <w:color w:val="000000"/>
        </w:rPr>
      </w:pPr>
      <w:r>
        <w:rPr>
          <w:color w:val="000000"/>
        </w:rPr>
        <w:t>Given this complex dynamic between group visibility and dominance, this paper makes three recommendations for future work on gender bias in NLP:</w:t>
      </w:r>
    </w:p>
    <w:p w14:paraId="427CAD69" w14:textId="1B497E91" w:rsidR="00040139" w:rsidRDefault="00040139" w:rsidP="00040139">
      <w:pPr>
        <w:rPr>
          <w:color w:val="000000"/>
        </w:rPr>
      </w:pPr>
      <w:r>
        <w:rPr>
          <w:color w:val="000000"/>
        </w:rPr>
        <w:t xml:space="preserve">First, that researchers </w:t>
      </w:r>
      <w:r w:rsidRPr="000E6E1A">
        <w:rPr>
          <w:i/>
          <w:iCs/>
          <w:color w:val="000000"/>
        </w:rPr>
        <w:t>increase</w:t>
      </w:r>
      <w:r>
        <w:rPr>
          <w:i/>
          <w:iCs/>
          <w:color w:val="000000"/>
        </w:rPr>
        <w:t xml:space="preserve"> </w:t>
      </w:r>
      <w:r w:rsidRPr="000E6E1A">
        <w:rPr>
          <w:i/>
          <w:iCs/>
          <w:color w:val="000000"/>
        </w:rPr>
        <w:t>physical descriptions of all gendered subjects in training sets, including those from dominant genders, especially white, male, heterosexual, and Christian identities</w:t>
      </w:r>
      <w:r>
        <w:rPr>
          <w:color w:val="000000"/>
        </w:rPr>
        <w:t xml:space="preserve">. Some work already exists toward this goal. In bias mitigation research by Reif and Schwartz </w:t>
      </w:r>
      <w:r w:rsidR="00534E21">
        <w:rPr>
          <w:color w:val="000000"/>
        </w:rPr>
        <w:t>(2023)</w:t>
      </w:r>
      <w:r>
        <w:rPr>
          <w:color w:val="000000"/>
        </w:rPr>
        <w:t xml:space="preserve">, “Fighting Bias with Bias,” the researchers share a promising approach: </w:t>
      </w:r>
      <w:r>
        <w:rPr>
          <w:i/>
          <w:iCs/>
          <w:color w:val="000000"/>
        </w:rPr>
        <w:t>amplifying</w:t>
      </w:r>
      <w:r>
        <w:rPr>
          <w:color w:val="000000"/>
        </w:rPr>
        <w:t xml:space="preserve"> rather than reducing bias in a model’s training dataset. As they point out, “filtering [out bias] can obscure the true capabilities of models to overcome biases, which might never be removed in full from the dataset” </w:t>
      </w:r>
      <w:r w:rsidR="00534E21">
        <w:rPr>
          <w:color w:val="000000"/>
        </w:rPr>
        <w:t>(Reif and Schwartz, 2023)</w:t>
      </w:r>
      <w:r>
        <w:rPr>
          <w:color w:val="000000"/>
        </w:rPr>
        <w:t xml:space="preserve">. Instead of an approach that reduces bias, they offer one of increasing it, such as by including phrases like “the pretty doctor” so that a model will interpret “doctor” to be female. Future work might develop this practice to </w:t>
      </w:r>
      <w:proofErr w:type="spellStart"/>
      <w:r>
        <w:rPr>
          <w:color w:val="000000"/>
        </w:rPr>
        <w:t>mark up</w:t>
      </w:r>
      <w:proofErr w:type="spellEnd"/>
      <w:r>
        <w:rPr>
          <w:color w:val="000000"/>
        </w:rPr>
        <w:t xml:space="preserve"> targets and attributes which describe gender as physical and behavioral, rather than as internal or </w:t>
      </w:r>
      <w:r>
        <w:rPr>
          <w:color w:val="000000"/>
        </w:rPr>
        <w:t>psychological, for all identity groups regardless of dominance.</w:t>
      </w:r>
    </w:p>
    <w:p w14:paraId="29EC6D8E" w14:textId="4BB01174" w:rsidR="00040139" w:rsidRDefault="00040139" w:rsidP="00040139">
      <w:pPr>
        <w:rPr>
          <w:color w:val="000000"/>
        </w:rPr>
      </w:pPr>
      <w:r>
        <w:rPr>
          <w:color w:val="000000"/>
        </w:rPr>
        <w:t xml:space="preserve">Additionally, this paper recommends that researchers </w:t>
      </w:r>
      <w:r w:rsidRPr="000E6E1A">
        <w:rPr>
          <w:i/>
          <w:iCs/>
          <w:color w:val="000000"/>
        </w:rPr>
        <w:t xml:space="preserve">allocate more </w:t>
      </w:r>
      <w:r>
        <w:rPr>
          <w:i/>
          <w:iCs/>
          <w:color w:val="000000"/>
        </w:rPr>
        <w:t>emphasis on</w:t>
      </w:r>
      <w:r w:rsidRPr="000E6E1A">
        <w:rPr>
          <w:i/>
          <w:iCs/>
          <w:color w:val="000000"/>
        </w:rPr>
        <w:t xml:space="preserve"> close reading and coding methods</w:t>
      </w:r>
      <w:r>
        <w:rPr>
          <w:color w:val="000000"/>
        </w:rPr>
        <w:t xml:space="preserve">, such as those displayed by TIDEs and </w:t>
      </w:r>
      <w:r w:rsidR="00E25F01">
        <w:rPr>
          <w:color w:val="000000"/>
        </w:rPr>
        <w:t>EQUITBL</w:t>
      </w:r>
      <w:r>
        <w:rPr>
          <w:color w:val="000000"/>
        </w:rPr>
        <w:t xml:space="preserve">. Amin’s </w:t>
      </w:r>
      <w:r w:rsidR="00534E21">
        <w:rPr>
          <w:color w:val="000000"/>
        </w:rPr>
        <w:t>(2022)</w:t>
      </w:r>
      <w:r>
        <w:rPr>
          <w:color w:val="000000"/>
        </w:rPr>
        <w:t xml:space="preserve"> point—that if gender were conceptualized as an outward, expressive phenomenon, rather than an identity category, there would be less social stigma—applies to both quantitative and qualitative methods for evaluating bias in NLP. The TIDEs researchers, for example, developed a robust qualitative coding system that could catch various examples of transphobia, even in ironic contexts. Although the final model is a binary classification model, nuance is built into the detection process through the data labelers’ careful coding. For the </w:t>
      </w:r>
      <w:r w:rsidR="00E25F01">
        <w:rPr>
          <w:color w:val="000000"/>
        </w:rPr>
        <w:t>EQUITBL</w:t>
      </w:r>
      <w:r>
        <w:rPr>
          <w:color w:val="000000"/>
        </w:rPr>
        <w:t xml:space="preserve"> project, close reading was explicitly included as the final stage of analysis. Despite the drastically different approaches, the use of close reading and coding thus helps both projects to make manifest the </w:t>
      </w:r>
      <w:proofErr w:type="gramStart"/>
      <w:r>
        <w:rPr>
          <w:color w:val="000000"/>
        </w:rPr>
        <w:t>sometimes subtle</w:t>
      </w:r>
      <w:proofErr w:type="gramEnd"/>
      <w:r>
        <w:rPr>
          <w:color w:val="000000"/>
        </w:rPr>
        <w:t xml:space="preserve"> ways that gender operates as an external phenomenon. </w:t>
      </w:r>
    </w:p>
    <w:p w14:paraId="07ED08FD" w14:textId="49601CED" w:rsidR="00040139" w:rsidRDefault="00040139" w:rsidP="006B5D44">
      <w:pPr>
        <w:rPr>
          <w:color w:val="000000"/>
        </w:rPr>
      </w:pPr>
      <w:r>
        <w:rPr>
          <w:color w:val="000000"/>
        </w:rPr>
        <w:t xml:space="preserve">The final recommendation is that NLP researchers </w:t>
      </w:r>
      <w:r w:rsidRPr="000E6E1A">
        <w:rPr>
          <w:i/>
          <w:iCs/>
          <w:color w:val="000000"/>
        </w:rPr>
        <w:t xml:space="preserve">draw from </w:t>
      </w:r>
      <w:r>
        <w:rPr>
          <w:i/>
          <w:iCs/>
          <w:color w:val="000000"/>
        </w:rPr>
        <w:t>social bias research</w:t>
      </w:r>
      <w:r w:rsidRPr="000E6E1A">
        <w:rPr>
          <w:i/>
          <w:iCs/>
          <w:color w:val="000000"/>
        </w:rPr>
        <w:t xml:space="preserve"> from other fields</w:t>
      </w:r>
      <w:r>
        <w:rPr>
          <w:i/>
          <w:iCs/>
          <w:color w:val="000000"/>
        </w:rPr>
        <w:t>, especially across the disciplines</w:t>
      </w:r>
      <w:r>
        <w:rPr>
          <w:color w:val="000000"/>
        </w:rPr>
        <w:t xml:space="preserve">. As demonstrated by Devinney et al. </w:t>
      </w:r>
      <w:r w:rsidR="00534E21">
        <w:rPr>
          <w:color w:val="000000"/>
        </w:rPr>
        <w:t>(2024)</w:t>
      </w:r>
      <w:r>
        <w:rPr>
          <w:color w:val="000000"/>
        </w:rPr>
        <w:t xml:space="preserve"> engaging explicitly with frameworks of gender </w:t>
      </w:r>
      <w:r w:rsidR="00534E21">
        <w:rPr>
          <w:color w:val="000000"/>
        </w:rPr>
        <w:t>(Butler, 1990)</w:t>
      </w:r>
      <w:r>
        <w:rPr>
          <w:color w:val="000000"/>
        </w:rPr>
        <w:t>, intersectionality</w:t>
      </w:r>
      <w:r w:rsidR="00534E21">
        <w:rPr>
          <w:color w:val="000000"/>
        </w:rPr>
        <w:t xml:space="preserve">, </w:t>
      </w:r>
      <w:r>
        <w:rPr>
          <w:color w:val="000000"/>
        </w:rPr>
        <w:t>and the matrix of domination</w:t>
      </w:r>
      <w:r w:rsidR="00534E21">
        <w:rPr>
          <w:color w:val="000000"/>
        </w:rPr>
        <w:t xml:space="preserve"> (Collins 2002)</w:t>
      </w:r>
      <w:r>
        <w:rPr>
          <w:color w:val="000000"/>
        </w:rPr>
        <w:t xml:space="preserve"> enables a more nuanced understanding of how implicit dominance structures emerge in language forms. Similarly, </w:t>
      </w:r>
      <w:proofErr w:type="spellStart"/>
      <w:r>
        <w:rPr>
          <w:color w:val="000000"/>
        </w:rPr>
        <w:t>Lameiro</w:t>
      </w:r>
      <w:proofErr w:type="spellEnd"/>
      <w:r>
        <w:rPr>
          <w:color w:val="000000"/>
        </w:rPr>
        <w:t xml:space="preserve"> et al. </w:t>
      </w:r>
      <w:r w:rsidR="00534E21">
        <w:rPr>
          <w:color w:val="000000"/>
        </w:rPr>
        <w:t>(2025)</w:t>
      </w:r>
      <w:r>
        <w:rPr>
          <w:color w:val="000000"/>
        </w:rPr>
        <w:t xml:space="preserve"> show how drawing from an ethics of care </w:t>
      </w:r>
      <w:r w:rsidR="00534E21">
        <w:rPr>
          <w:color w:val="000000"/>
        </w:rPr>
        <w:t xml:space="preserve">(de la </w:t>
      </w:r>
      <w:proofErr w:type="spellStart"/>
      <w:r w:rsidR="00534E21">
        <w:rPr>
          <w:color w:val="000000"/>
        </w:rPr>
        <w:t>Bellacasa</w:t>
      </w:r>
      <w:proofErr w:type="spellEnd"/>
      <w:r w:rsidR="00534E21">
        <w:rPr>
          <w:color w:val="000000"/>
        </w:rPr>
        <w:t>, 2011)</w:t>
      </w:r>
      <w:r>
        <w:rPr>
          <w:color w:val="000000"/>
        </w:rPr>
        <w:t xml:space="preserve"> can inform methodological choices, particularly in data labelling practices. Together, these approaches illustrate how theoretically grounded interdisciplinary work can deepen NLP research on bias.</w:t>
      </w:r>
    </w:p>
    <w:p w14:paraId="490323C9" w14:textId="77777777" w:rsidR="00040139" w:rsidRPr="00040139" w:rsidRDefault="00040139" w:rsidP="006B5D44">
      <w:pPr>
        <w:rPr>
          <w:rFonts w:cs="Times New Roman"/>
          <w:szCs w:val="20"/>
          <w:lang w:val="en-GB"/>
        </w:rPr>
      </w:pPr>
    </w:p>
    <w:p w14:paraId="65C79D4D" w14:textId="524625E0" w:rsidR="00040139" w:rsidRPr="00040139" w:rsidRDefault="00040139" w:rsidP="00040139">
      <w:pPr>
        <w:pStyle w:val="Heading1"/>
        <w:rPr>
          <w:lang w:val="en-GB"/>
        </w:rPr>
      </w:pPr>
      <w:r>
        <w:rPr>
          <w:lang w:val="en-GB"/>
        </w:rPr>
        <w:t>Conclusion</w:t>
      </w:r>
    </w:p>
    <w:p w14:paraId="7D441E08" w14:textId="77777777" w:rsidR="00040139" w:rsidRDefault="00040139" w:rsidP="00040139">
      <w:pPr>
        <w:rPr>
          <w:color w:val="000000"/>
        </w:rPr>
      </w:pPr>
      <w:r>
        <w:rPr>
          <w:color w:val="000000"/>
        </w:rPr>
        <w:t>This paper has shown that contemporary concepts of gender that frame it as an internal identity, detached from outward expression and embodiment, produce unintended consequences: idealized and invisible norms (such as cisgender and heterosexuality) are reinforced, while visibly non-normative gender expressions become further stigmatized. The problem with the universal, unmarked subject is precisely that, despite not being marked, he is overrepresented. This overrepresentation does not result from persistent or explicit labels, because the dominant subject does not carry a descriptive label as such: he simply is.</w:t>
      </w:r>
    </w:p>
    <w:p w14:paraId="19F37B33" w14:textId="77777777" w:rsidR="00040139" w:rsidRDefault="00040139" w:rsidP="00040139">
      <w:pPr>
        <w:rPr>
          <w:color w:val="000000"/>
        </w:rPr>
      </w:pPr>
      <w:r>
        <w:rPr>
          <w:color w:val="000000"/>
        </w:rPr>
        <w:t xml:space="preserve">Incorporating this analysis from Trans Studies offers a productive direction for future work in the study of gender bias in NLP. Rather than </w:t>
      </w:r>
      <w:r>
        <w:rPr>
          <w:color w:val="000000"/>
        </w:rPr>
        <w:lastRenderedPageBreak/>
        <w:t>approaching gender as an identity that is internal, NLP research benefits directly from interdisciplinary work that attends to embodiment, behavior, and visibility, making dominant norms explicit rather than naturalized.</w:t>
      </w:r>
    </w:p>
    <w:p w14:paraId="5A5B1756" w14:textId="172EBD0B" w:rsidR="006B5D44" w:rsidRDefault="00040139" w:rsidP="006B5D44">
      <w:pPr>
        <w:rPr>
          <w:color w:val="000000"/>
        </w:rPr>
      </w:pPr>
      <w:r>
        <w:rPr>
          <w:color w:val="000000"/>
        </w:rPr>
        <w:t>Most importantly, this paper has shown how close reading methods—that is, deep and sustained attention to language—can help materialize how gender operates in NLP systems. This paper’s central argument can be boiled down to the logic that if gender is an expressive and relational phenomenon, then detecting gender bias ought to also be a material practice, one driven by close attention to language.</w:t>
      </w:r>
    </w:p>
    <w:p w14:paraId="3DADB02E" w14:textId="77777777" w:rsidR="009C30A8" w:rsidRDefault="009C30A8" w:rsidP="006B5D44">
      <w:pPr>
        <w:rPr>
          <w:color w:val="000000"/>
        </w:rPr>
      </w:pPr>
    </w:p>
    <w:p w14:paraId="28324438" w14:textId="2C3AFEDD" w:rsidR="009C30A8" w:rsidRPr="009C30A8" w:rsidRDefault="009C30A8" w:rsidP="009C30A8">
      <w:pPr>
        <w:pStyle w:val="Heading1"/>
        <w:numPr>
          <w:ilvl w:val="0"/>
          <w:numId w:val="33"/>
        </w:numPr>
        <w:rPr>
          <w:lang w:val="en-GB"/>
        </w:rPr>
      </w:pPr>
      <w:r>
        <w:rPr>
          <w:lang w:val="en-GB"/>
        </w:rPr>
        <w:t>Ethics and Limitations Statement</w:t>
      </w:r>
    </w:p>
    <w:p w14:paraId="7E6620DE" w14:textId="04FB8402" w:rsidR="009C30A8" w:rsidRDefault="009C30A8" w:rsidP="009C30A8">
      <w:r>
        <w:t xml:space="preserve">While this paper explores theoretical questions in existing NLP frameworks, it does not represent the full diversity of trans and gender-diverse experiences. The analysis is limited to interpretive readings of two evaluation frameworks, and any attempt to operationalize or standardize gender in computational systems risks </w:t>
      </w:r>
      <w:r w:rsidR="00C56964">
        <w:t>over</w:t>
      </w:r>
      <w:r>
        <w:t>simplification.</w:t>
      </w:r>
    </w:p>
    <w:p w14:paraId="0B99E325" w14:textId="77777777" w:rsidR="009C30A8" w:rsidRPr="009C30A8" w:rsidRDefault="009C30A8" w:rsidP="009C30A8">
      <w:pPr>
        <w:rPr>
          <w:lang w:val="en-GB"/>
        </w:rPr>
      </w:pPr>
    </w:p>
    <w:p w14:paraId="11E2C980" w14:textId="54CDE9CC" w:rsidR="009C30A8" w:rsidRDefault="009C30A8" w:rsidP="009C30A8">
      <w:pPr>
        <w:pStyle w:val="Heading1"/>
        <w:numPr>
          <w:ilvl w:val="0"/>
          <w:numId w:val="33"/>
        </w:numPr>
        <w:rPr>
          <w:lang w:val="en-GB"/>
        </w:rPr>
      </w:pPr>
      <w:r>
        <w:rPr>
          <w:lang w:val="en-GB"/>
        </w:rPr>
        <w:t>Generative AI statement</w:t>
      </w:r>
    </w:p>
    <w:p w14:paraId="1D180EE3" w14:textId="67DF292E" w:rsidR="00040139" w:rsidRDefault="009C30A8" w:rsidP="006B5D44">
      <w:pPr>
        <w:rPr>
          <w:lang w:val="en-GB"/>
        </w:rPr>
      </w:pPr>
      <w:r>
        <w:rPr>
          <w:lang w:val="en-GB"/>
        </w:rPr>
        <w:t>Generative AI was not used in the writing and production of this paper.</w:t>
      </w:r>
    </w:p>
    <w:p w14:paraId="4C4CE2E3" w14:textId="77777777" w:rsidR="00215BCF" w:rsidRDefault="00215BCF" w:rsidP="006B5D44">
      <w:pPr>
        <w:rPr>
          <w:lang w:val="en-GB"/>
        </w:rPr>
      </w:pPr>
    </w:p>
    <w:p w14:paraId="2C86BF70" w14:textId="0F001D71" w:rsidR="00215BCF" w:rsidRDefault="00215BCF" w:rsidP="00215BCF">
      <w:pPr>
        <w:pStyle w:val="Heading1"/>
        <w:numPr>
          <w:ilvl w:val="0"/>
          <w:numId w:val="33"/>
        </w:numPr>
        <w:rPr>
          <w:lang w:val="en-GB"/>
        </w:rPr>
      </w:pPr>
      <w:r>
        <w:rPr>
          <w:lang w:val="en-GB"/>
        </w:rPr>
        <w:t>Dual Submission Disclosure</w:t>
      </w:r>
    </w:p>
    <w:p w14:paraId="46C1A11A" w14:textId="20204D02" w:rsidR="009C30A8" w:rsidRDefault="00215BCF" w:rsidP="006B5D44">
      <w:pPr>
        <w:rPr>
          <w:lang w:val="en-GB"/>
        </w:rPr>
      </w:pPr>
      <w:r>
        <w:rPr>
          <w:lang w:val="en-GB"/>
        </w:rPr>
        <w:t>A paper similar in content to this one is being reviewed at another conference venue. If</w:t>
      </w:r>
      <w:r w:rsidR="00EC4E61">
        <w:rPr>
          <w:lang w:val="en-GB"/>
        </w:rPr>
        <w:t xml:space="preserve"> the paper</w:t>
      </w:r>
      <w:r>
        <w:rPr>
          <w:lang w:val="en-GB"/>
        </w:rPr>
        <w:t xml:space="preserve"> is accepted, I will notify the relevant parties </w:t>
      </w:r>
      <w:proofErr w:type="gramStart"/>
      <w:r>
        <w:rPr>
          <w:lang w:val="en-GB"/>
        </w:rPr>
        <w:t>and  withdraw</w:t>
      </w:r>
      <w:proofErr w:type="gramEnd"/>
      <w:r>
        <w:rPr>
          <w:lang w:val="en-GB"/>
        </w:rPr>
        <w:t xml:space="preserve"> the submission.</w:t>
      </w:r>
    </w:p>
    <w:p w14:paraId="14D8ECBF" w14:textId="77777777" w:rsidR="00215BCF" w:rsidRPr="00432DCA" w:rsidRDefault="00215BCF" w:rsidP="006B5D44">
      <w:pPr>
        <w:rPr>
          <w:rFonts w:cs="Times New Roman"/>
          <w:szCs w:val="20"/>
          <w:lang w:val="en-GB"/>
        </w:rPr>
      </w:pPr>
    </w:p>
    <w:p w14:paraId="325C36D5" w14:textId="2F35699C" w:rsidR="009C30A8" w:rsidRPr="009C30A8" w:rsidRDefault="00365F1D" w:rsidP="009C30A8">
      <w:pPr>
        <w:pStyle w:val="Heading1"/>
        <w:rPr>
          <w:lang w:val="en-GB"/>
        </w:rPr>
      </w:pPr>
      <w:r w:rsidRPr="00432DCA">
        <w:rPr>
          <w:lang w:val="en-GB"/>
        </w:rPr>
        <w:t>Bibliographical References</w:t>
      </w:r>
    </w:p>
    <w:p w14:paraId="236467DC" w14:textId="77777777" w:rsidR="0010088C" w:rsidRPr="00432DCA" w:rsidRDefault="00365F1D" w:rsidP="00C57B49">
      <w:pPr>
        <w:pStyle w:val="LRECReferences"/>
        <w:rPr>
          <w:lang w:val="en-GB"/>
        </w:rPr>
      </w:pPr>
      <w:r w:rsidRPr="00432DCA">
        <w:rPr>
          <w:lang w:val="en-GB"/>
        </w:rPr>
        <w:t>Castor, A. and Pollux, L. E. (1992). The use of user modelling</w:t>
      </w:r>
      <w:r w:rsidR="00EB0C3F" w:rsidRPr="00432DCA">
        <w:rPr>
          <w:lang w:val="en-GB"/>
        </w:rPr>
        <w:t xml:space="preserve"> </w:t>
      </w:r>
      <w:r w:rsidRPr="00432DCA">
        <w:rPr>
          <w:lang w:val="en-GB"/>
        </w:rPr>
        <w:t xml:space="preserve">to guide inference and learning. </w:t>
      </w:r>
      <w:r w:rsidRPr="00432DCA">
        <w:rPr>
          <w:i/>
          <w:lang w:val="en-GB"/>
        </w:rPr>
        <w:t>Applied Intelligence</w:t>
      </w:r>
      <w:r w:rsidRPr="00432DCA">
        <w:rPr>
          <w:lang w:val="en-GB"/>
        </w:rPr>
        <w:t>,</w:t>
      </w:r>
      <w:r w:rsidR="00EB0C3F" w:rsidRPr="00432DCA">
        <w:rPr>
          <w:lang w:val="en-GB"/>
        </w:rPr>
        <w:t xml:space="preserve"> </w:t>
      </w:r>
      <w:r w:rsidRPr="00432DCA">
        <w:rPr>
          <w:lang w:val="en-GB"/>
        </w:rPr>
        <w:t>2(1):37–53.</w:t>
      </w:r>
      <w:r w:rsidR="00EB0C3F" w:rsidRPr="00432DCA">
        <w:rPr>
          <w:lang w:val="en-GB"/>
        </w:rPr>
        <w:t xml:space="preserve"> </w:t>
      </w:r>
    </w:p>
    <w:p w14:paraId="5DF11F16" w14:textId="77777777" w:rsidR="003D6C08" w:rsidRPr="00432DCA" w:rsidRDefault="003D6C08" w:rsidP="00C57B49">
      <w:pPr>
        <w:pStyle w:val="LRECReferences"/>
        <w:rPr>
          <w:lang w:val="en-GB"/>
        </w:rPr>
      </w:pPr>
      <w:proofErr w:type="spellStart"/>
      <w:r w:rsidRPr="00432DCA">
        <w:rPr>
          <w:lang w:val="en-GB"/>
        </w:rPr>
        <w:t>Grandchercheur</w:t>
      </w:r>
      <w:proofErr w:type="spellEnd"/>
      <w:r w:rsidRPr="00432DCA">
        <w:rPr>
          <w:lang w:val="en-GB"/>
        </w:rPr>
        <w:t xml:space="preserve">, L.B. (1983). </w:t>
      </w:r>
      <w:r w:rsidRPr="00432DCA">
        <w:rPr>
          <w:iCs/>
          <w:lang w:val="en-GB"/>
        </w:rPr>
        <w:t xml:space="preserve">Vers </w:t>
      </w:r>
      <w:proofErr w:type="spellStart"/>
      <w:r w:rsidRPr="00432DCA">
        <w:rPr>
          <w:iCs/>
          <w:lang w:val="en-GB"/>
        </w:rPr>
        <w:t>une</w:t>
      </w:r>
      <w:proofErr w:type="spellEnd"/>
      <w:r w:rsidRPr="00432DCA">
        <w:rPr>
          <w:iCs/>
          <w:lang w:val="en-GB"/>
        </w:rPr>
        <w:t xml:space="preserve"> </w:t>
      </w:r>
      <w:proofErr w:type="spellStart"/>
      <w:r w:rsidRPr="00432DCA">
        <w:rPr>
          <w:iCs/>
          <w:lang w:val="en-GB"/>
        </w:rPr>
        <w:t>modélisation</w:t>
      </w:r>
      <w:proofErr w:type="spellEnd"/>
      <w:r w:rsidRPr="00432DCA">
        <w:rPr>
          <w:iCs/>
          <w:lang w:val="en-GB"/>
        </w:rPr>
        <w:t xml:space="preserve"> cognitive de </w:t>
      </w:r>
      <w:proofErr w:type="spellStart"/>
      <w:r w:rsidRPr="00432DCA">
        <w:rPr>
          <w:iCs/>
          <w:lang w:val="en-GB"/>
        </w:rPr>
        <w:t>l'être</w:t>
      </w:r>
      <w:proofErr w:type="spellEnd"/>
      <w:r w:rsidRPr="00432DCA">
        <w:rPr>
          <w:iCs/>
          <w:lang w:val="en-GB"/>
        </w:rPr>
        <w:t xml:space="preserve"> et du </w:t>
      </w:r>
      <w:proofErr w:type="spellStart"/>
      <w:r w:rsidRPr="00432DCA">
        <w:rPr>
          <w:iCs/>
          <w:lang w:val="en-GB"/>
        </w:rPr>
        <w:t>néant</w:t>
      </w:r>
      <w:proofErr w:type="spellEnd"/>
      <w:r w:rsidRPr="00432DCA">
        <w:rPr>
          <w:lang w:val="en-GB"/>
        </w:rPr>
        <w:t xml:space="preserve">. In S.G Paris, G.M. Olson, &amp; H.W. Stevenson (Eds.), </w:t>
      </w:r>
      <w:proofErr w:type="spellStart"/>
      <w:r w:rsidRPr="00432DCA">
        <w:rPr>
          <w:i/>
          <w:iCs/>
          <w:lang w:val="en-GB"/>
        </w:rPr>
        <w:t>Fondement</w:t>
      </w:r>
      <w:proofErr w:type="spellEnd"/>
      <w:r w:rsidRPr="00432DCA">
        <w:rPr>
          <w:i/>
          <w:iCs/>
          <w:lang w:val="en-GB"/>
        </w:rPr>
        <w:t xml:space="preserve"> des Sciences </w:t>
      </w:r>
      <w:proofErr w:type="spellStart"/>
      <w:r w:rsidRPr="00432DCA">
        <w:rPr>
          <w:i/>
          <w:iCs/>
          <w:lang w:val="en-GB"/>
        </w:rPr>
        <w:t>Cognitives</w:t>
      </w:r>
      <w:proofErr w:type="spellEnd"/>
      <w:r w:rsidRPr="00432DCA">
        <w:rPr>
          <w:lang w:val="en-GB"/>
        </w:rPr>
        <w:t xml:space="preserve">. Hillsdale, NJ: Lawrence Erlbaum Associates, pp. 6--38. </w:t>
      </w:r>
    </w:p>
    <w:p w14:paraId="064289BB" w14:textId="77777777" w:rsidR="00365F1D" w:rsidRPr="00432DCA" w:rsidRDefault="00365F1D" w:rsidP="00C57B49">
      <w:pPr>
        <w:pStyle w:val="LRECReferences"/>
        <w:rPr>
          <w:lang w:val="en-GB"/>
        </w:rPr>
      </w:pPr>
      <w:proofErr w:type="spellStart"/>
      <w:r w:rsidRPr="00432DCA">
        <w:rPr>
          <w:lang w:val="en-GB"/>
        </w:rPr>
        <w:t>Str</w:t>
      </w:r>
      <w:r w:rsidR="00EB0C3F" w:rsidRPr="00432DCA">
        <w:rPr>
          <w:lang w:val="en-GB"/>
        </w:rPr>
        <w:t>ö</w:t>
      </w:r>
      <w:r w:rsidRPr="00432DCA">
        <w:rPr>
          <w:lang w:val="en-GB"/>
        </w:rPr>
        <w:t>tgen</w:t>
      </w:r>
      <w:proofErr w:type="spellEnd"/>
      <w:r w:rsidRPr="00432DCA">
        <w:rPr>
          <w:lang w:val="en-GB"/>
        </w:rPr>
        <w:t>, J. and Gertz, M. (2012). Temporal tagging</w:t>
      </w:r>
      <w:r w:rsidR="00EB0C3F" w:rsidRPr="00432DCA">
        <w:rPr>
          <w:lang w:val="en-GB"/>
        </w:rPr>
        <w:t xml:space="preserve"> </w:t>
      </w:r>
      <w:r w:rsidRPr="00432DCA">
        <w:rPr>
          <w:lang w:val="en-GB"/>
        </w:rPr>
        <w:t>on different domains: Challenges, strategies, and gold</w:t>
      </w:r>
      <w:r w:rsidR="00EB0C3F" w:rsidRPr="00432DCA">
        <w:rPr>
          <w:lang w:val="en-GB"/>
        </w:rPr>
        <w:t xml:space="preserve"> </w:t>
      </w:r>
      <w:r w:rsidRPr="00432DCA">
        <w:rPr>
          <w:lang w:val="en-GB"/>
        </w:rPr>
        <w:t xml:space="preserve">standards. In </w:t>
      </w:r>
      <w:r w:rsidRPr="00432DCA">
        <w:rPr>
          <w:i/>
          <w:lang w:val="en-GB"/>
        </w:rPr>
        <w:t>Proceedings of the Eight International</w:t>
      </w:r>
      <w:r w:rsidR="00EB0C3F" w:rsidRPr="00432DCA">
        <w:rPr>
          <w:i/>
          <w:lang w:val="en-GB"/>
        </w:rPr>
        <w:t xml:space="preserve"> </w:t>
      </w:r>
      <w:r w:rsidRPr="00432DCA">
        <w:rPr>
          <w:i/>
          <w:lang w:val="en-GB"/>
        </w:rPr>
        <w:t>Conference on Language Resources and Evaluation</w:t>
      </w:r>
      <w:r w:rsidR="00EB0C3F" w:rsidRPr="00432DCA">
        <w:rPr>
          <w:i/>
          <w:lang w:val="en-GB"/>
        </w:rPr>
        <w:t xml:space="preserve"> </w:t>
      </w:r>
      <w:r w:rsidRPr="00432DCA">
        <w:rPr>
          <w:i/>
          <w:lang w:val="en-GB"/>
        </w:rPr>
        <w:t>(LREC</w:t>
      </w:r>
      <w:r w:rsidR="00E21710" w:rsidRPr="00432DCA">
        <w:rPr>
          <w:i/>
          <w:lang w:val="en-GB"/>
        </w:rPr>
        <w:t xml:space="preserve"> 20</w:t>
      </w:r>
      <w:r w:rsidRPr="00432DCA">
        <w:rPr>
          <w:i/>
          <w:lang w:val="en-GB"/>
        </w:rPr>
        <w:t>12)</w:t>
      </w:r>
      <w:r w:rsidRPr="00432DCA">
        <w:rPr>
          <w:lang w:val="en-GB"/>
        </w:rPr>
        <w:t xml:space="preserve">, pages 3746–3753, Istanbul, Turkey, </w:t>
      </w:r>
      <w:r w:rsidR="00E21710" w:rsidRPr="00432DCA">
        <w:rPr>
          <w:lang w:val="en-GB"/>
        </w:rPr>
        <w:t>M</w:t>
      </w:r>
      <w:r w:rsidRPr="00432DCA">
        <w:rPr>
          <w:lang w:val="en-GB"/>
        </w:rPr>
        <w:t>ay.</w:t>
      </w:r>
      <w:r w:rsidR="00EB0C3F" w:rsidRPr="00432DCA">
        <w:rPr>
          <w:lang w:val="en-GB"/>
        </w:rPr>
        <w:t xml:space="preserve"> </w:t>
      </w:r>
      <w:r w:rsidRPr="00432DCA">
        <w:rPr>
          <w:lang w:val="en-GB"/>
        </w:rPr>
        <w:t>European Language Resource Association (ELRA).</w:t>
      </w:r>
    </w:p>
    <w:p w14:paraId="369CACE3" w14:textId="3EBDC729" w:rsidR="00DE36D4" w:rsidRPr="00432DCA" w:rsidRDefault="00DE36D4" w:rsidP="006B5D44">
      <w:pPr>
        <w:rPr>
          <w:lang w:val="en-GB"/>
        </w:rPr>
      </w:pPr>
    </w:p>
    <w:sectPr w:rsidR="00DE36D4" w:rsidRPr="00432DCA" w:rsidSect="005A5FBF">
      <w:type w:val="continuous"/>
      <w:pgSz w:w="11906" w:h="16838"/>
      <w:pgMar w:top="1418" w:right="1418" w:bottom="1418" w:left="1418" w:header="709" w:footer="709" w:gutter="0"/>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D069" w14:textId="77777777" w:rsidR="009D5D76" w:rsidRDefault="009D5D76" w:rsidP="001D01AC">
      <w:pPr>
        <w:spacing w:after="0" w:line="240" w:lineRule="auto"/>
      </w:pPr>
      <w:r>
        <w:separator/>
      </w:r>
    </w:p>
  </w:endnote>
  <w:endnote w:type="continuationSeparator" w:id="0">
    <w:p w14:paraId="754F82A7" w14:textId="77777777" w:rsidR="009D5D76" w:rsidRDefault="009D5D76" w:rsidP="001D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notTrueType/>
    <w:pitch w:val="default"/>
  </w:font>
  <w:font w:name="Linux Libertine O">
    <w:altName w:val="Times New Roman"/>
    <w:panose1 w:val="020B0604020202020204"/>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64C8" w14:textId="77777777" w:rsidR="009D5D76" w:rsidRDefault="009D5D76" w:rsidP="001D01AC">
      <w:pPr>
        <w:spacing w:after="0" w:line="240" w:lineRule="auto"/>
      </w:pPr>
      <w:r>
        <w:separator/>
      </w:r>
    </w:p>
  </w:footnote>
  <w:footnote w:type="continuationSeparator" w:id="0">
    <w:p w14:paraId="4732D45A" w14:textId="77777777" w:rsidR="009D5D76" w:rsidRDefault="009D5D76" w:rsidP="001D0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628"/>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330602"/>
    <w:multiLevelType w:val="multilevel"/>
    <w:tmpl w:val="457C3B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802AA6"/>
    <w:multiLevelType w:val="hybridMultilevel"/>
    <w:tmpl w:val="3102849A"/>
    <w:lvl w:ilvl="0" w:tplc="52AAA388">
      <w:start w:val="4"/>
      <w:numFmt w:val="decimal"/>
      <w:lvlText w:val="%1.1.1"/>
      <w:lvlJc w:val="left"/>
      <w:pPr>
        <w:ind w:left="72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164D93"/>
    <w:multiLevelType w:val="hybridMultilevel"/>
    <w:tmpl w:val="8822F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F01C4A"/>
    <w:multiLevelType w:val="hybridMultilevel"/>
    <w:tmpl w:val="15223A82"/>
    <w:lvl w:ilvl="0" w:tplc="3746FB66">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90C77D2"/>
    <w:multiLevelType w:val="hybridMultilevel"/>
    <w:tmpl w:val="30269600"/>
    <w:lvl w:ilvl="0" w:tplc="1BA27BFE">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0630055"/>
    <w:multiLevelType w:val="hybridMultilevel"/>
    <w:tmpl w:val="60DC450A"/>
    <w:lvl w:ilvl="0" w:tplc="1D5C96A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205A18"/>
    <w:multiLevelType w:val="hybridMultilevel"/>
    <w:tmpl w:val="C462A124"/>
    <w:lvl w:ilvl="0" w:tplc="2CA05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A342D99"/>
    <w:multiLevelType w:val="hybridMultilevel"/>
    <w:tmpl w:val="028867FC"/>
    <w:lvl w:ilvl="0" w:tplc="13784F30">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7440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0DB5BE8"/>
    <w:multiLevelType w:val="hybridMultilevel"/>
    <w:tmpl w:val="44A02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067509"/>
    <w:multiLevelType w:val="hybridMultilevel"/>
    <w:tmpl w:val="61C8C7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3CA6986"/>
    <w:multiLevelType w:val="multilevel"/>
    <w:tmpl w:val="15223A8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7F46B63"/>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5" w15:restartNumberingAfterBreak="0">
    <w:nsid w:val="595E4589"/>
    <w:multiLevelType w:val="multilevel"/>
    <w:tmpl w:val="0C5EEAEA"/>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BF55202"/>
    <w:multiLevelType w:val="hybridMultilevel"/>
    <w:tmpl w:val="190C4A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E796DB4"/>
    <w:multiLevelType w:val="multilevel"/>
    <w:tmpl w:val="040C001D"/>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4B62848"/>
    <w:multiLevelType w:val="hybridMultilevel"/>
    <w:tmpl w:val="1ABAD020"/>
    <w:lvl w:ilvl="0" w:tplc="5B08CDD4">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4F417AE"/>
    <w:multiLevelType w:val="hybridMultilevel"/>
    <w:tmpl w:val="F402894E"/>
    <w:lvl w:ilvl="0" w:tplc="294EFA20">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6A56702"/>
    <w:multiLevelType w:val="hybridMultilevel"/>
    <w:tmpl w:val="AD66A54A"/>
    <w:lvl w:ilvl="0" w:tplc="5FA4B35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7B0606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78E07866"/>
    <w:multiLevelType w:val="multilevel"/>
    <w:tmpl w:val="0D7C8B0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A735E65"/>
    <w:multiLevelType w:val="hybridMultilevel"/>
    <w:tmpl w:val="9496BC7A"/>
    <w:lvl w:ilvl="0" w:tplc="15942E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B804EB"/>
    <w:multiLevelType w:val="hybridMultilevel"/>
    <w:tmpl w:val="D2CC6E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3119179">
    <w:abstractNumId w:val="20"/>
  </w:num>
  <w:num w:numId="2" w16cid:durableId="912275141">
    <w:abstractNumId w:val="24"/>
  </w:num>
  <w:num w:numId="3" w16cid:durableId="292490502">
    <w:abstractNumId w:val="6"/>
  </w:num>
  <w:num w:numId="4" w16cid:durableId="1288583499">
    <w:abstractNumId w:val="6"/>
    <w:lvlOverride w:ilvl="0">
      <w:startOverride w:val="4"/>
    </w:lvlOverride>
  </w:num>
  <w:num w:numId="5" w16cid:durableId="674116824">
    <w:abstractNumId w:val="6"/>
    <w:lvlOverride w:ilvl="0">
      <w:startOverride w:val="5"/>
    </w:lvlOverride>
  </w:num>
  <w:num w:numId="6" w16cid:durableId="1351107182">
    <w:abstractNumId w:val="6"/>
    <w:lvlOverride w:ilvl="0">
      <w:startOverride w:val="1"/>
    </w:lvlOverride>
  </w:num>
  <w:num w:numId="7" w16cid:durableId="1092507321">
    <w:abstractNumId w:val="16"/>
  </w:num>
  <w:num w:numId="8" w16cid:durableId="705910619">
    <w:abstractNumId w:val="18"/>
  </w:num>
  <w:num w:numId="9" w16cid:durableId="953555622">
    <w:abstractNumId w:val="19"/>
  </w:num>
  <w:num w:numId="10" w16cid:durableId="623000157">
    <w:abstractNumId w:val="4"/>
  </w:num>
  <w:num w:numId="11" w16cid:durableId="773090787">
    <w:abstractNumId w:val="1"/>
  </w:num>
  <w:num w:numId="12" w16cid:durableId="1566914797">
    <w:abstractNumId w:val="1"/>
  </w:num>
  <w:num w:numId="13" w16cid:durableId="606356401">
    <w:abstractNumId w:val="5"/>
  </w:num>
  <w:num w:numId="14" w16cid:durableId="1960066603">
    <w:abstractNumId w:val="9"/>
  </w:num>
  <w:num w:numId="15" w16cid:durableId="353503612">
    <w:abstractNumId w:val="12"/>
  </w:num>
  <w:num w:numId="16" w16cid:durableId="970283993">
    <w:abstractNumId w:val="7"/>
  </w:num>
  <w:num w:numId="17" w16cid:durableId="310670601">
    <w:abstractNumId w:val="4"/>
    <w:lvlOverride w:ilvl="0">
      <w:startOverride w:val="4"/>
    </w:lvlOverride>
  </w:num>
  <w:num w:numId="18" w16cid:durableId="529343357">
    <w:abstractNumId w:val="4"/>
    <w:lvlOverride w:ilvl="0">
      <w:startOverride w:val="1"/>
    </w:lvlOverride>
  </w:num>
  <w:num w:numId="19" w16cid:durableId="369035742">
    <w:abstractNumId w:val="2"/>
  </w:num>
  <w:num w:numId="20" w16cid:durableId="1352872133">
    <w:abstractNumId w:val="13"/>
  </w:num>
  <w:num w:numId="21" w16cid:durableId="635258186">
    <w:abstractNumId w:val="17"/>
  </w:num>
  <w:num w:numId="22" w16cid:durableId="1764456297">
    <w:abstractNumId w:val="0"/>
  </w:num>
  <w:num w:numId="23" w16cid:durableId="1217475922">
    <w:abstractNumId w:val="14"/>
  </w:num>
  <w:num w:numId="24" w16cid:durableId="1212155344">
    <w:abstractNumId w:val="15"/>
  </w:num>
  <w:num w:numId="25" w16cid:durableId="649404074">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2425049">
    <w:abstractNumId w:val="11"/>
  </w:num>
  <w:num w:numId="27" w16cid:durableId="2092582724">
    <w:abstractNumId w:val="3"/>
  </w:num>
  <w:num w:numId="28" w16cid:durableId="1818841576">
    <w:abstractNumId w:val="10"/>
  </w:num>
  <w:num w:numId="29" w16cid:durableId="39207605">
    <w:abstractNumId w:val="21"/>
  </w:num>
  <w:num w:numId="30" w16cid:durableId="2118209470">
    <w:abstractNumId w:val="23"/>
  </w:num>
  <w:num w:numId="31" w16cid:durableId="695345698">
    <w:abstractNumId w:val="22"/>
  </w:num>
  <w:num w:numId="32" w16cid:durableId="1099957321">
    <w:abstractNumId w:val="8"/>
  </w:num>
  <w:num w:numId="33" w16cid:durableId="847597198">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65"/>
    <w:rsid w:val="00027FB9"/>
    <w:rsid w:val="00040139"/>
    <w:rsid w:val="0004726E"/>
    <w:rsid w:val="00057348"/>
    <w:rsid w:val="00065D11"/>
    <w:rsid w:val="00077DC4"/>
    <w:rsid w:val="00084C06"/>
    <w:rsid w:val="000946C9"/>
    <w:rsid w:val="000B1B75"/>
    <w:rsid w:val="000C5D6B"/>
    <w:rsid w:val="000D01C9"/>
    <w:rsid w:val="000E60C2"/>
    <w:rsid w:val="000F5EA4"/>
    <w:rsid w:val="0010088C"/>
    <w:rsid w:val="001024F2"/>
    <w:rsid w:val="0010524D"/>
    <w:rsid w:val="00113B07"/>
    <w:rsid w:val="0014627E"/>
    <w:rsid w:val="0016406C"/>
    <w:rsid w:val="0018487A"/>
    <w:rsid w:val="00190165"/>
    <w:rsid w:val="001B00D3"/>
    <w:rsid w:val="001C3C28"/>
    <w:rsid w:val="001C5B5E"/>
    <w:rsid w:val="001D01AC"/>
    <w:rsid w:val="001F7312"/>
    <w:rsid w:val="001F7E52"/>
    <w:rsid w:val="00202DDF"/>
    <w:rsid w:val="0020741D"/>
    <w:rsid w:val="00212570"/>
    <w:rsid w:val="00215BCF"/>
    <w:rsid w:val="00236801"/>
    <w:rsid w:val="00254C26"/>
    <w:rsid w:val="00271824"/>
    <w:rsid w:val="00274740"/>
    <w:rsid w:val="00296AD7"/>
    <w:rsid w:val="002B77D5"/>
    <w:rsid w:val="002B7FC9"/>
    <w:rsid w:val="002F50F6"/>
    <w:rsid w:val="00303F56"/>
    <w:rsid w:val="0033039A"/>
    <w:rsid w:val="0033401C"/>
    <w:rsid w:val="003524C2"/>
    <w:rsid w:val="00352953"/>
    <w:rsid w:val="00356CF2"/>
    <w:rsid w:val="00357765"/>
    <w:rsid w:val="003617A7"/>
    <w:rsid w:val="00362010"/>
    <w:rsid w:val="00365F1D"/>
    <w:rsid w:val="00372009"/>
    <w:rsid w:val="0037223C"/>
    <w:rsid w:val="00382ACC"/>
    <w:rsid w:val="00392E65"/>
    <w:rsid w:val="003A0D3A"/>
    <w:rsid w:val="003B598B"/>
    <w:rsid w:val="003B6A2F"/>
    <w:rsid w:val="003D2698"/>
    <w:rsid w:val="003D2ED4"/>
    <w:rsid w:val="003D30C9"/>
    <w:rsid w:val="003D5D69"/>
    <w:rsid w:val="003D6C08"/>
    <w:rsid w:val="00432DCA"/>
    <w:rsid w:val="004727AB"/>
    <w:rsid w:val="004728CC"/>
    <w:rsid w:val="004B6E27"/>
    <w:rsid w:val="004D7358"/>
    <w:rsid w:val="004E0383"/>
    <w:rsid w:val="004E7C98"/>
    <w:rsid w:val="00505723"/>
    <w:rsid w:val="00525A01"/>
    <w:rsid w:val="00533591"/>
    <w:rsid w:val="00534E21"/>
    <w:rsid w:val="005366E6"/>
    <w:rsid w:val="005406DF"/>
    <w:rsid w:val="005818D1"/>
    <w:rsid w:val="005A393C"/>
    <w:rsid w:val="005A5FBF"/>
    <w:rsid w:val="005B3C79"/>
    <w:rsid w:val="005C4035"/>
    <w:rsid w:val="005E2BC3"/>
    <w:rsid w:val="005F4458"/>
    <w:rsid w:val="00606047"/>
    <w:rsid w:val="0061127B"/>
    <w:rsid w:val="00625D74"/>
    <w:rsid w:val="00640718"/>
    <w:rsid w:val="00641CA6"/>
    <w:rsid w:val="00654EC2"/>
    <w:rsid w:val="00682F0D"/>
    <w:rsid w:val="00684B22"/>
    <w:rsid w:val="00695079"/>
    <w:rsid w:val="006A5884"/>
    <w:rsid w:val="006A6A51"/>
    <w:rsid w:val="006B5D44"/>
    <w:rsid w:val="00701D19"/>
    <w:rsid w:val="007066F3"/>
    <w:rsid w:val="00711EDC"/>
    <w:rsid w:val="0071328A"/>
    <w:rsid w:val="007303E3"/>
    <w:rsid w:val="00737E0F"/>
    <w:rsid w:val="00756DB3"/>
    <w:rsid w:val="00761868"/>
    <w:rsid w:val="00775F1B"/>
    <w:rsid w:val="007A204C"/>
    <w:rsid w:val="007A64CC"/>
    <w:rsid w:val="007B045F"/>
    <w:rsid w:val="007D4061"/>
    <w:rsid w:val="007E3511"/>
    <w:rsid w:val="007F14C0"/>
    <w:rsid w:val="007F1B1B"/>
    <w:rsid w:val="007F3AAB"/>
    <w:rsid w:val="008150BF"/>
    <w:rsid w:val="00824E8A"/>
    <w:rsid w:val="00826DFF"/>
    <w:rsid w:val="00826F41"/>
    <w:rsid w:val="00842838"/>
    <w:rsid w:val="00851B7A"/>
    <w:rsid w:val="00855A25"/>
    <w:rsid w:val="0086065F"/>
    <w:rsid w:val="0088291B"/>
    <w:rsid w:val="00895093"/>
    <w:rsid w:val="00896260"/>
    <w:rsid w:val="00896B4D"/>
    <w:rsid w:val="008A65D7"/>
    <w:rsid w:val="008A71F7"/>
    <w:rsid w:val="008C582D"/>
    <w:rsid w:val="008D397C"/>
    <w:rsid w:val="008D6713"/>
    <w:rsid w:val="008E100D"/>
    <w:rsid w:val="009010F5"/>
    <w:rsid w:val="009343AC"/>
    <w:rsid w:val="009442B3"/>
    <w:rsid w:val="0097024D"/>
    <w:rsid w:val="00981F20"/>
    <w:rsid w:val="0098614F"/>
    <w:rsid w:val="0099654C"/>
    <w:rsid w:val="00996BC5"/>
    <w:rsid w:val="009A2A1D"/>
    <w:rsid w:val="009C30A8"/>
    <w:rsid w:val="009C5A32"/>
    <w:rsid w:val="009D12D7"/>
    <w:rsid w:val="009D5D76"/>
    <w:rsid w:val="009D616D"/>
    <w:rsid w:val="009F63A8"/>
    <w:rsid w:val="00A0059B"/>
    <w:rsid w:val="00A0798E"/>
    <w:rsid w:val="00A11954"/>
    <w:rsid w:val="00A355C1"/>
    <w:rsid w:val="00A51706"/>
    <w:rsid w:val="00A9329A"/>
    <w:rsid w:val="00A934D3"/>
    <w:rsid w:val="00AB6C0F"/>
    <w:rsid w:val="00AB772A"/>
    <w:rsid w:val="00AD79EB"/>
    <w:rsid w:val="00AE0EC4"/>
    <w:rsid w:val="00B12910"/>
    <w:rsid w:val="00B12A35"/>
    <w:rsid w:val="00B36961"/>
    <w:rsid w:val="00B43D14"/>
    <w:rsid w:val="00B67A6D"/>
    <w:rsid w:val="00B72CBE"/>
    <w:rsid w:val="00B755EB"/>
    <w:rsid w:val="00B75AC5"/>
    <w:rsid w:val="00B832A3"/>
    <w:rsid w:val="00BB3261"/>
    <w:rsid w:val="00BC707C"/>
    <w:rsid w:val="00C01134"/>
    <w:rsid w:val="00C2630D"/>
    <w:rsid w:val="00C52D3B"/>
    <w:rsid w:val="00C56964"/>
    <w:rsid w:val="00C57B49"/>
    <w:rsid w:val="00C62A8B"/>
    <w:rsid w:val="00C96D3A"/>
    <w:rsid w:val="00CA5E89"/>
    <w:rsid w:val="00CD0FEE"/>
    <w:rsid w:val="00CD5DA0"/>
    <w:rsid w:val="00CE5D0F"/>
    <w:rsid w:val="00CE7E0B"/>
    <w:rsid w:val="00D03F6E"/>
    <w:rsid w:val="00D11931"/>
    <w:rsid w:val="00D31394"/>
    <w:rsid w:val="00D37A6D"/>
    <w:rsid w:val="00D50D12"/>
    <w:rsid w:val="00D51606"/>
    <w:rsid w:val="00D5722C"/>
    <w:rsid w:val="00D63A07"/>
    <w:rsid w:val="00D65F1E"/>
    <w:rsid w:val="00D7610B"/>
    <w:rsid w:val="00D807A1"/>
    <w:rsid w:val="00D907B0"/>
    <w:rsid w:val="00DA239C"/>
    <w:rsid w:val="00DA267F"/>
    <w:rsid w:val="00DB50F9"/>
    <w:rsid w:val="00DB76C7"/>
    <w:rsid w:val="00DC392D"/>
    <w:rsid w:val="00DD4DD5"/>
    <w:rsid w:val="00DD7720"/>
    <w:rsid w:val="00DE36D4"/>
    <w:rsid w:val="00DE5049"/>
    <w:rsid w:val="00E06676"/>
    <w:rsid w:val="00E20263"/>
    <w:rsid w:val="00E20DAC"/>
    <w:rsid w:val="00E21710"/>
    <w:rsid w:val="00E245EB"/>
    <w:rsid w:val="00E257F6"/>
    <w:rsid w:val="00E25F01"/>
    <w:rsid w:val="00E6125E"/>
    <w:rsid w:val="00E66FF1"/>
    <w:rsid w:val="00E72AB6"/>
    <w:rsid w:val="00EB0C3F"/>
    <w:rsid w:val="00EB0DCF"/>
    <w:rsid w:val="00EC4E61"/>
    <w:rsid w:val="00ED7877"/>
    <w:rsid w:val="00EF158A"/>
    <w:rsid w:val="00F03A8C"/>
    <w:rsid w:val="00F11C84"/>
    <w:rsid w:val="00F4100A"/>
    <w:rsid w:val="00F43FA6"/>
    <w:rsid w:val="00F53B8F"/>
    <w:rsid w:val="00F6419E"/>
    <w:rsid w:val="00F67766"/>
    <w:rsid w:val="00F92EF5"/>
    <w:rsid w:val="00FA0AAE"/>
    <w:rsid w:val="00FA4AAD"/>
    <w:rsid w:val="00FC259C"/>
    <w:rsid w:val="00FC72F1"/>
    <w:rsid w:val="00FD0462"/>
    <w:rsid w:val="00FF73D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2EE7"/>
  <w15:chartTrackingRefBased/>
  <w15:docId w15:val="{94478263-FA8A-4B60-912F-7365A2AB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5C1"/>
    <w:pPr>
      <w:spacing w:after="120" w:line="220" w:lineRule="exact"/>
      <w:jc w:val="both"/>
    </w:pPr>
    <w:rPr>
      <w:rFonts w:ascii="Arial" w:hAnsi="Arial"/>
      <w:sz w:val="20"/>
      <w:lang w:val="en-US"/>
    </w:rPr>
  </w:style>
  <w:style w:type="paragraph" w:styleId="Heading1">
    <w:name w:val="heading 1"/>
    <w:basedOn w:val="Normal"/>
    <w:next w:val="Normal"/>
    <w:link w:val="Heading1Char"/>
    <w:uiPriority w:val="9"/>
    <w:qFormat/>
    <w:rsid w:val="000E60C2"/>
    <w:pPr>
      <w:keepNext/>
      <w:keepLines/>
      <w:numPr>
        <w:numId w:val="12"/>
      </w:numPr>
      <w:spacing w:before="240" w:line="240" w:lineRule="exact"/>
      <w:ind w:left="431" w:hanging="431"/>
      <w:jc w:val="center"/>
      <w:outlineLvl w:val="0"/>
    </w:pPr>
    <w:rPr>
      <w:rFonts w:eastAsiaTheme="majorEastAsia" w:cs="Times New Roman"/>
      <w:b/>
      <w:sz w:val="24"/>
      <w:szCs w:val="24"/>
    </w:rPr>
  </w:style>
  <w:style w:type="paragraph" w:styleId="Heading2">
    <w:name w:val="heading 2"/>
    <w:basedOn w:val="Normal"/>
    <w:next w:val="Normal"/>
    <w:link w:val="Heading2Char"/>
    <w:uiPriority w:val="9"/>
    <w:unhideWhenUsed/>
    <w:qFormat/>
    <w:rsid w:val="00202DDF"/>
    <w:pPr>
      <w:keepNext/>
      <w:keepLines/>
      <w:numPr>
        <w:ilvl w:val="1"/>
        <w:numId w:val="12"/>
      </w:numPr>
      <w:spacing w:before="120" w:after="60"/>
      <w:ind w:left="567" w:hanging="567"/>
      <w:jc w:val="left"/>
      <w:outlineLvl w:val="1"/>
    </w:pPr>
    <w:rPr>
      <w:rFonts w:eastAsiaTheme="majorEastAsia" w:cstheme="majorBidi"/>
      <w:b/>
      <w:sz w:val="22"/>
      <w:szCs w:val="26"/>
    </w:rPr>
  </w:style>
  <w:style w:type="paragraph" w:styleId="Heading3">
    <w:name w:val="heading 3"/>
    <w:basedOn w:val="Normal"/>
    <w:next w:val="Normal"/>
    <w:link w:val="Heading3Char"/>
    <w:uiPriority w:val="9"/>
    <w:unhideWhenUsed/>
    <w:qFormat/>
    <w:rsid w:val="000E60C2"/>
    <w:pPr>
      <w:keepNext/>
      <w:keepLines/>
      <w:numPr>
        <w:ilvl w:val="2"/>
        <w:numId w:val="12"/>
      </w:numPr>
      <w:spacing w:before="120" w:after="6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DA239C"/>
    <w:pPr>
      <w:keepNext/>
      <w:keepLines/>
      <w:numPr>
        <w:ilvl w:val="3"/>
        <w:numId w:val="12"/>
      </w:numPr>
      <w:spacing w:before="40" w:after="0"/>
      <w:ind w:left="862" w:hanging="862"/>
      <w:outlineLvl w:val="3"/>
    </w:pPr>
    <w:rPr>
      <w:rFonts w:eastAsiaTheme="majorEastAsia" w:cstheme="majorBidi"/>
      <w:i/>
      <w:iCs/>
      <w:sz w:val="18"/>
    </w:rPr>
  </w:style>
  <w:style w:type="paragraph" w:styleId="Heading5">
    <w:name w:val="heading 5"/>
    <w:basedOn w:val="Normal"/>
    <w:next w:val="Normal"/>
    <w:link w:val="Heading5Char"/>
    <w:uiPriority w:val="9"/>
    <w:semiHidden/>
    <w:unhideWhenUsed/>
    <w:qFormat/>
    <w:rsid w:val="00C2630D"/>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2630D"/>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2630D"/>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2630D"/>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630D"/>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C2"/>
    <w:rPr>
      <w:rFonts w:ascii="Arial" w:eastAsiaTheme="majorEastAsia" w:hAnsi="Arial" w:cs="Times New Roman"/>
      <w:b/>
      <w:sz w:val="24"/>
      <w:szCs w:val="24"/>
      <w:lang w:val="en-US"/>
    </w:rPr>
  </w:style>
  <w:style w:type="character" w:customStyle="1" w:styleId="Heading2Char">
    <w:name w:val="Heading 2 Char"/>
    <w:basedOn w:val="DefaultParagraphFont"/>
    <w:link w:val="Heading2"/>
    <w:uiPriority w:val="9"/>
    <w:rsid w:val="00202DDF"/>
    <w:rPr>
      <w:rFonts w:ascii="Arial" w:eastAsiaTheme="majorEastAsia" w:hAnsi="Arial" w:cstheme="majorBidi"/>
      <w:b/>
      <w:szCs w:val="26"/>
      <w:lang w:val="en-US"/>
    </w:rPr>
  </w:style>
  <w:style w:type="character" w:customStyle="1" w:styleId="Heading3Char">
    <w:name w:val="Heading 3 Char"/>
    <w:basedOn w:val="DefaultParagraphFont"/>
    <w:link w:val="Heading3"/>
    <w:uiPriority w:val="9"/>
    <w:rsid w:val="000E60C2"/>
    <w:rPr>
      <w:rFonts w:ascii="Arial" w:eastAsiaTheme="majorEastAsia" w:hAnsi="Arial" w:cstheme="majorBidi"/>
      <w:b/>
      <w:sz w:val="20"/>
      <w:szCs w:val="24"/>
      <w:lang w:val="en-US"/>
    </w:rPr>
  </w:style>
  <w:style w:type="paragraph" w:styleId="ListParagraph">
    <w:name w:val="List Paragraph"/>
    <w:basedOn w:val="Normal"/>
    <w:uiPriority w:val="34"/>
    <w:qFormat/>
    <w:rsid w:val="00684B22"/>
    <w:pPr>
      <w:numPr>
        <w:numId w:val="30"/>
      </w:numPr>
      <w:ind w:left="312" w:hanging="170"/>
      <w:contextualSpacing/>
    </w:pPr>
    <w:rPr>
      <w:lang w:eastAsia="fr-FR"/>
    </w:rPr>
  </w:style>
  <w:style w:type="table" w:styleId="TableGrid">
    <w:name w:val="Table Grid"/>
    <w:basedOn w:val="TableNormal"/>
    <w:uiPriority w:val="39"/>
    <w:rsid w:val="004D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525A01"/>
    <w:pPr>
      <w:spacing w:after="0" w:line="240" w:lineRule="auto"/>
    </w:pPr>
    <w:rPr>
      <w:sz w:val="18"/>
      <w:szCs w:val="20"/>
    </w:rPr>
  </w:style>
  <w:style w:type="character" w:customStyle="1" w:styleId="FootnoteTextChar">
    <w:name w:val="Footnote Text Char"/>
    <w:basedOn w:val="DefaultParagraphFont"/>
    <w:link w:val="FootnoteText"/>
    <w:uiPriority w:val="99"/>
    <w:rsid w:val="00525A01"/>
    <w:rPr>
      <w:rFonts w:ascii="Arial" w:hAnsi="Arial"/>
      <w:sz w:val="18"/>
      <w:szCs w:val="20"/>
    </w:rPr>
  </w:style>
  <w:style w:type="character" w:styleId="FootnoteReference">
    <w:name w:val="footnote reference"/>
    <w:basedOn w:val="DefaultParagraphFont"/>
    <w:uiPriority w:val="99"/>
    <w:unhideWhenUsed/>
    <w:rsid w:val="008150BF"/>
    <w:rPr>
      <w:rFonts w:ascii="Arial" w:hAnsi="Arial"/>
      <w:vertAlign w:val="superscript"/>
    </w:rPr>
  </w:style>
  <w:style w:type="paragraph" w:styleId="Title">
    <w:name w:val="Title"/>
    <w:basedOn w:val="Normal"/>
    <w:next w:val="Authors"/>
    <w:link w:val="TitleChar"/>
    <w:uiPriority w:val="10"/>
    <w:qFormat/>
    <w:rsid w:val="00826F41"/>
    <w:pPr>
      <w:spacing w:after="360" w:line="240" w:lineRule="auto"/>
      <w:contextualSpacing/>
      <w:jc w:val="center"/>
    </w:pPr>
    <w:rPr>
      <w:rFonts w:eastAsiaTheme="majorEastAsia" w:cstheme="majorBidi"/>
      <w:b/>
      <w:spacing w:val="-10"/>
      <w:kern w:val="28"/>
      <w:sz w:val="28"/>
      <w:szCs w:val="56"/>
    </w:rPr>
  </w:style>
  <w:style w:type="character" w:customStyle="1" w:styleId="Heading4Char">
    <w:name w:val="Heading 4 Char"/>
    <w:basedOn w:val="DefaultParagraphFont"/>
    <w:link w:val="Heading4"/>
    <w:uiPriority w:val="9"/>
    <w:semiHidden/>
    <w:rsid w:val="00DA239C"/>
    <w:rPr>
      <w:rFonts w:ascii="Arial" w:eastAsiaTheme="majorEastAsia" w:hAnsi="Arial" w:cstheme="majorBidi"/>
      <w:i/>
      <w:iCs/>
      <w:sz w:val="18"/>
    </w:rPr>
  </w:style>
  <w:style w:type="character" w:customStyle="1" w:styleId="Heading5Char">
    <w:name w:val="Heading 5 Char"/>
    <w:basedOn w:val="DefaultParagraphFont"/>
    <w:link w:val="Heading5"/>
    <w:uiPriority w:val="9"/>
    <w:semiHidden/>
    <w:rsid w:val="00C2630D"/>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C2630D"/>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C2630D"/>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C2630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630D"/>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826F41"/>
    <w:rPr>
      <w:rFonts w:ascii="Arial" w:eastAsiaTheme="majorEastAsia" w:hAnsi="Arial" w:cstheme="majorBidi"/>
      <w:b/>
      <w:spacing w:val="-10"/>
      <w:kern w:val="28"/>
      <w:sz w:val="28"/>
      <w:szCs w:val="56"/>
    </w:rPr>
  </w:style>
  <w:style w:type="character" w:styleId="FollowedHyperlink">
    <w:name w:val="FollowedHyperlink"/>
    <w:basedOn w:val="DefaultParagraphFont"/>
    <w:uiPriority w:val="99"/>
    <w:semiHidden/>
    <w:unhideWhenUsed/>
    <w:rsid w:val="00D03F6E"/>
    <w:rPr>
      <w:color w:val="954F72" w:themeColor="followedHyperlink"/>
      <w:u w:val="single"/>
    </w:rPr>
  </w:style>
  <w:style w:type="character" w:styleId="Hyperlink">
    <w:name w:val="Hyperlink"/>
    <w:basedOn w:val="DefaultParagraphFont"/>
    <w:uiPriority w:val="99"/>
    <w:unhideWhenUsed/>
    <w:rsid w:val="00DC392D"/>
    <w:rPr>
      <w:color w:val="0563C1" w:themeColor="hyperlink"/>
      <w:u w:val="single"/>
    </w:rPr>
  </w:style>
  <w:style w:type="paragraph" w:customStyle="1" w:styleId="LRECReferences">
    <w:name w:val="LREC References"/>
    <w:basedOn w:val="Normal"/>
    <w:qFormat/>
    <w:rsid w:val="008150BF"/>
    <w:pPr>
      <w:widowControl w:val="0"/>
      <w:spacing w:after="0"/>
      <w:ind w:left="198" w:hanging="198"/>
    </w:pPr>
    <w:rPr>
      <w:rFonts w:eastAsia="SimSun" w:cs="Times New Roman"/>
      <w:kern w:val="2"/>
      <w:szCs w:val="20"/>
      <w:lang w:eastAsia="zh-CN"/>
    </w:rPr>
  </w:style>
  <w:style w:type="paragraph" w:styleId="HTMLPreformatted">
    <w:name w:val="HTML Preformatted"/>
    <w:basedOn w:val="Normal"/>
    <w:link w:val="HTMLPreformattedChar"/>
    <w:uiPriority w:val="99"/>
    <w:semiHidden/>
    <w:unhideWhenUsed/>
    <w:rsid w:val="00D63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eastAsia="fr-FR"/>
    </w:rPr>
  </w:style>
  <w:style w:type="character" w:customStyle="1" w:styleId="HTMLPreformattedChar">
    <w:name w:val="HTML Preformatted Char"/>
    <w:basedOn w:val="DefaultParagraphFont"/>
    <w:link w:val="HTMLPreformatted"/>
    <w:uiPriority w:val="99"/>
    <w:semiHidden/>
    <w:rsid w:val="00D63A07"/>
    <w:rPr>
      <w:rFonts w:ascii="Courier New" w:eastAsia="Times New Roman" w:hAnsi="Courier New" w:cs="Courier New"/>
      <w:sz w:val="20"/>
      <w:szCs w:val="20"/>
      <w:lang w:eastAsia="fr-FR"/>
    </w:rPr>
  </w:style>
  <w:style w:type="paragraph" w:styleId="Revision">
    <w:name w:val="Revision"/>
    <w:hidden/>
    <w:uiPriority w:val="99"/>
    <w:semiHidden/>
    <w:rsid w:val="003A0D3A"/>
    <w:pPr>
      <w:spacing w:after="0" w:line="240" w:lineRule="auto"/>
    </w:pPr>
    <w:rPr>
      <w:rFonts w:ascii="Times New Roman" w:hAnsi="Times New Roman"/>
      <w:sz w:val="20"/>
    </w:rPr>
  </w:style>
  <w:style w:type="paragraph" w:styleId="NormalWeb">
    <w:name w:val="Normal (Web)"/>
    <w:basedOn w:val="Normal"/>
    <w:uiPriority w:val="99"/>
    <w:semiHidden/>
    <w:unhideWhenUsed/>
    <w:rsid w:val="00CD0FEE"/>
    <w:pPr>
      <w:spacing w:before="100" w:beforeAutospacing="1" w:after="100" w:afterAutospacing="1" w:line="240" w:lineRule="auto"/>
      <w:jc w:val="left"/>
    </w:pPr>
    <w:rPr>
      <w:rFonts w:eastAsia="Times New Roman" w:cs="Times New Roman"/>
      <w:sz w:val="24"/>
      <w:szCs w:val="24"/>
      <w:lang w:eastAsia="fr-FR"/>
    </w:rPr>
  </w:style>
  <w:style w:type="paragraph" w:customStyle="1" w:styleId="Abstract">
    <w:name w:val="Abstract"/>
    <w:basedOn w:val="Normal"/>
    <w:qFormat/>
    <w:rsid w:val="0020741D"/>
    <w:pPr>
      <w:autoSpaceDE w:val="0"/>
      <w:autoSpaceDN w:val="0"/>
      <w:adjustRightInd w:val="0"/>
      <w:spacing w:line="200" w:lineRule="exact"/>
    </w:pPr>
    <w:rPr>
      <w:rFonts w:cs="Times New Roman"/>
      <w:sz w:val="18"/>
      <w:szCs w:val="18"/>
    </w:rPr>
  </w:style>
  <w:style w:type="paragraph" w:styleId="Bibliography">
    <w:name w:val="Bibliography"/>
    <w:basedOn w:val="Normal"/>
    <w:next w:val="Normal"/>
    <w:uiPriority w:val="37"/>
    <w:unhideWhenUsed/>
    <w:qFormat/>
    <w:rsid w:val="0033401C"/>
    <w:pPr>
      <w:ind w:left="198" w:hanging="198"/>
      <w:jc w:val="left"/>
    </w:pPr>
  </w:style>
  <w:style w:type="numbering" w:customStyle="1" w:styleId="CurrentList1">
    <w:name w:val="Current List1"/>
    <w:uiPriority w:val="99"/>
    <w:rsid w:val="00842838"/>
    <w:pPr>
      <w:numPr>
        <w:numId w:val="31"/>
      </w:numPr>
    </w:pPr>
  </w:style>
  <w:style w:type="character" w:styleId="UnresolvedMention">
    <w:name w:val="Unresolved Mention"/>
    <w:basedOn w:val="DefaultParagraphFont"/>
    <w:uiPriority w:val="99"/>
    <w:semiHidden/>
    <w:unhideWhenUsed/>
    <w:rsid w:val="00981F20"/>
    <w:rPr>
      <w:color w:val="605E5C"/>
      <w:shd w:val="clear" w:color="auto" w:fill="E1DFDD"/>
    </w:rPr>
  </w:style>
  <w:style w:type="paragraph" w:customStyle="1" w:styleId="Authors">
    <w:name w:val="Authors"/>
    <w:basedOn w:val="Normal"/>
    <w:next w:val="Address"/>
    <w:qFormat/>
    <w:rsid w:val="00C52D3B"/>
    <w:pPr>
      <w:jc w:val="center"/>
    </w:pPr>
    <w:rPr>
      <w:rFonts w:cs="Times New Roman (Body CS)"/>
      <w:b/>
      <w:sz w:val="24"/>
    </w:rPr>
  </w:style>
  <w:style w:type="paragraph" w:customStyle="1" w:styleId="Address">
    <w:name w:val="Address"/>
    <w:basedOn w:val="Normal"/>
    <w:qFormat/>
    <w:rsid w:val="00C52D3B"/>
    <w:pPr>
      <w:contextualSpacing/>
      <w:jc w:val="center"/>
    </w:pPr>
  </w:style>
  <w:style w:type="paragraph" w:customStyle="1" w:styleId="AbstractTitle">
    <w:name w:val="Abstract Title"/>
    <w:basedOn w:val="Normal"/>
    <w:next w:val="Abstract"/>
    <w:qFormat/>
    <w:rsid w:val="0020741D"/>
    <w:pPr>
      <w:spacing w:before="240" w:after="40"/>
      <w:jc w:val="center"/>
    </w:pPr>
    <w:rPr>
      <w:b/>
      <w:bCs/>
    </w:rPr>
  </w:style>
  <w:style w:type="paragraph" w:styleId="Caption">
    <w:name w:val="caption"/>
    <w:basedOn w:val="Normal"/>
    <w:next w:val="Normal"/>
    <w:uiPriority w:val="35"/>
    <w:unhideWhenUsed/>
    <w:qFormat/>
    <w:rsid w:val="00DB76C7"/>
    <w:pPr>
      <w:spacing w:before="120" w:after="200"/>
      <w:jc w:val="center"/>
    </w:pPr>
    <w:rPr>
      <w:iCs/>
      <w:szCs w:val="18"/>
    </w:rPr>
  </w:style>
  <w:style w:type="character" w:customStyle="1" w:styleId="FixedWidthText">
    <w:name w:val="FixedWidthText"/>
    <w:basedOn w:val="DefaultParagraphFont"/>
    <w:uiPriority w:val="1"/>
    <w:qFormat/>
    <w:rsid w:val="00027FB9"/>
    <w:rPr>
      <w:rFonts w:ascii="Courier New" w:hAnsi="Courier New"/>
      <w:b w:val="0"/>
      <w:i w:val="0"/>
      <w:sz w:val="20"/>
      <w:lang w:val="en-US"/>
    </w:rPr>
  </w:style>
  <w:style w:type="character" w:styleId="CommentReference">
    <w:name w:val="annotation reference"/>
    <w:basedOn w:val="DefaultParagraphFont"/>
    <w:uiPriority w:val="99"/>
    <w:semiHidden/>
    <w:unhideWhenUsed/>
    <w:rsid w:val="00DD4DD5"/>
    <w:rPr>
      <w:sz w:val="16"/>
      <w:szCs w:val="16"/>
    </w:rPr>
  </w:style>
  <w:style w:type="paragraph" w:styleId="CommentText">
    <w:name w:val="annotation text"/>
    <w:basedOn w:val="Normal"/>
    <w:link w:val="CommentTextChar"/>
    <w:uiPriority w:val="99"/>
    <w:unhideWhenUsed/>
    <w:rsid w:val="00DD4DD5"/>
    <w:pPr>
      <w:spacing w:line="240" w:lineRule="auto"/>
    </w:pPr>
    <w:rPr>
      <w:szCs w:val="20"/>
    </w:rPr>
  </w:style>
  <w:style w:type="character" w:customStyle="1" w:styleId="CommentTextChar">
    <w:name w:val="Comment Text Char"/>
    <w:basedOn w:val="DefaultParagraphFont"/>
    <w:link w:val="CommentText"/>
    <w:uiPriority w:val="99"/>
    <w:rsid w:val="00DD4D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D4DD5"/>
    <w:rPr>
      <w:b/>
      <w:bCs/>
    </w:rPr>
  </w:style>
  <w:style w:type="character" w:customStyle="1" w:styleId="CommentSubjectChar">
    <w:name w:val="Comment Subject Char"/>
    <w:basedOn w:val="CommentTextChar"/>
    <w:link w:val="CommentSubject"/>
    <w:uiPriority w:val="99"/>
    <w:semiHidden/>
    <w:rsid w:val="00DD4DD5"/>
    <w:rPr>
      <w:rFonts w:ascii="Arial" w:hAnsi="Arial"/>
      <w:b/>
      <w:bCs/>
      <w:sz w:val="20"/>
      <w:szCs w:val="20"/>
    </w:rPr>
  </w:style>
  <w:style w:type="paragraph" w:customStyle="1" w:styleId="Para">
    <w:name w:val="Para"/>
    <w:basedOn w:val="Normal"/>
    <w:next w:val="ParaContinue"/>
    <w:rsid w:val="003D30C9"/>
    <w:pPr>
      <w:spacing w:after="0" w:line="270" w:lineRule="atLeast"/>
      <w:ind w:firstLine="240"/>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3D30C9"/>
    <w:rPr>
      <w:rFonts w:ascii="Linux Libertine O" w:hAnsi="Linux Libertine O" w:cs="Linux Libertine O"/>
      <w:sz w:val="18"/>
      <w:szCs w:val="24"/>
      <w:lang w:eastAsia="ja-JP"/>
    </w:rPr>
  </w:style>
  <w:style w:type="paragraph" w:customStyle="1" w:styleId="ParaContinue">
    <w:name w:val="ParaContinue"/>
    <w:basedOn w:val="Normal"/>
    <w:link w:val="ParaContinueChar"/>
    <w:rsid w:val="003D30C9"/>
    <w:pPr>
      <w:spacing w:after="0" w:line="270" w:lineRule="atLeast"/>
      <w:ind w:firstLine="240"/>
    </w:pPr>
    <w:rPr>
      <w:rFonts w:ascii="Linux Libertine O" w:hAnsi="Linux Libertine O" w:cs="Linux Libertine O"/>
      <w:sz w:val="18"/>
      <w:szCs w:val="24"/>
      <w:lang w:eastAsia="ja-JP"/>
    </w:rPr>
  </w:style>
  <w:style w:type="paragraph" w:customStyle="1" w:styleId="PostHeadPara">
    <w:name w:val="PostHeadPara"/>
    <w:basedOn w:val="Para"/>
    <w:qFormat/>
    <w:rsid w:val="003D30C9"/>
    <w:pPr>
      <w:ind w:firstLine="0"/>
    </w:pPr>
    <w:rPr>
      <w:lang w:eastAsia="en-US"/>
    </w:rPr>
  </w:style>
  <w:style w:type="paragraph" w:customStyle="1" w:styleId="Head1">
    <w:name w:val="Head1"/>
    <w:basedOn w:val="Heading1"/>
    <w:next w:val="Para"/>
    <w:qFormat/>
    <w:rsid w:val="00040139"/>
    <w:pPr>
      <w:numPr>
        <w:numId w:val="32"/>
      </w:numPr>
      <w:tabs>
        <w:tab w:val="left" w:pos="240"/>
        <w:tab w:val="num" w:pos="360"/>
      </w:tabs>
      <w:spacing w:before="320" w:after="60" w:line="225" w:lineRule="atLeast"/>
      <w:jc w:val="left"/>
    </w:pPr>
    <w:rPr>
      <w:rFonts w:ascii="Linux Biolinum O" w:eastAsia="Times New Roman" w:hAnsi="Linux Biolinum O" w:cs="Linux Biolinum O"/>
      <w:bCs/>
      <w:caps/>
      <w:sz w:val="18"/>
      <w:szCs w:val="20"/>
    </w:rPr>
  </w:style>
  <w:style w:type="paragraph" w:customStyle="1" w:styleId="Head2">
    <w:name w:val="Head2"/>
    <w:basedOn w:val="Heading2"/>
    <w:next w:val="Para"/>
    <w:qFormat/>
    <w:rsid w:val="00040139"/>
    <w:pPr>
      <w:numPr>
        <w:numId w:val="32"/>
      </w:numPr>
      <w:tabs>
        <w:tab w:val="num" w:pos="360"/>
      </w:tabs>
      <w:spacing w:before="240" w:line="225" w:lineRule="atLeast"/>
    </w:pPr>
    <w:rPr>
      <w:rFonts w:ascii="Linux Biolinum O" w:eastAsia="Times New Roman" w:hAnsi="Linux Biolinum O" w:cs="Linux Biolinum O"/>
      <w:bCs/>
      <w:sz w:val="18"/>
      <w:szCs w:val="20"/>
    </w:rPr>
  </w:style>
  <w:style w:type="paragraph" w:customStyle="1" w:styleId="Head3">
    <w:name w:val="Head3"/>
    <w:basedOn w:val="Normal"/>
    <w:next w:val="Para"/>
    <w:qFormat/>
    <w:rsid w:val="00040139"/>
    <w:pPr>
      <w:keepNext/>
      <w:numPr>
        <w:ilvl w:val="2"/>
        <w:numId w:val="32"/>
      </w:numPr>
      <w:tabs>
        <w:tab w:val="left" w:pos="540"/>
      </w:tabs>
      <w:overflowPunct w:val="0"/>
      <w:spacing w:before="240" w:after="60" w:line="225" w:lineRule="atLeast"/>
      <w:outlineLvl w:val="2"/>
    </w:pPr>
    <w:rPr>
      <w:rFonts w:ascii="Linux Biolinum O" w:eastAsia="Times New Roman" w:hAnsi="Linux Biolinum O" w:cs="Linux Biolinum O"/>
      <w:bCs/>
      <w:i/>
      <w:sz w:val="18"/>
      <w:szCs w:val="20"/>
    </w:rPr>
  </w:style>
  <w:style w:type="paragraph" w:customStyle="1" w:styleId="Head4">
    <w:name w:val="Head4"/>
    <w:autoRedefine/>
    <w:qFormat/>
    <w:rsid w:val="00040139"/>
    <w:pPr>
      <w:keepNext/>
      <w:numPr>
        <w:ilvl w:val="3"/>
        <w:numId w:val="32"/>
      </w:numPr>
      <w:spacing w:before="60" w:after="140" w:line="240" w:lineRule="auto"/>
    </w:pPr>
    <w:rPr>
      <w:rFonts w:ascii="Linux Biolinum" w:eastAsia="Times New Roman" w:hAnsi="Linux Biolinum" w:cs="Linux Biolinum"/>
      <w:i/>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2412">
      <w:bodyDiv w:val="1"/>
      <w:marLeft w:val="0"/>
      <w:marRight w:val="0"/>
      <w:marTop w:val="0"/>
      <w:marBottom w:val="0"/>
      <w:divBdr>
        <w:top w:val="none" w:sz="0" w:space="0" w:color="auto"/>
        <w:left w:val="none" w:sz="0" w:space="0" w:color="auto"/>
        <w:bottom w:val="none" w:sz="0" w:space="0" w:color="auto"/>
        <w:right w:val="none" w:sz="0" w:space="0" w:color="auto"/>
      </w:divBdr>
    </w:div>
    <w:div w:id="64762254">
      <w:bodyDiv w:val="1"/>
      <w:marLeft w:val="0"/>
      <w:marRight w:val="0"/>
      <w:marTop w:val="0"/>
      <w:marBottom w:val="0"/>
      <w:divBdr>
        <w:top w:val="none" w:sz="0" w:space="0" w:color="auto"/>
        <w:left w:val="none" w:sz="0" w:space="0" w:color="auto"/>
        <w:bottom w:val="none" w:sz="0" w:space="0" w:color="auto"/>
        <w:right w:val="none" w:sz="0" w:space="0" w:color="auto"/>
      </w:divBdr>
      <w:divsChild>
        <w:div w:id="923680989">
          <w:marLeft w:val="0"/>
          <w:marRight w:val="0"/>
          <w:marTop w:val="0"/>
          <w:marBottom w:val="0"/>
          <w:divBdr>
            <w:top w:val="none" w:sz="0" w:space="0" w:color="auto"/>
            <w:left w:val="none" w:sz="0" w:space="0" w:color="auto"/>
            <w:bottom w:val="none" w:sz="0" w:space="0" w:color="auto"/>
            <w:right w:val="none" w:sz="0" w:space="0" w:color="auto"/>
          </w:divBdr>
          <w:divsChild>
            <w:div w:id="774328652">
              <w:marLeft w:val="0"/>
              <w:marRight w:val="0"/>
              <w:marTop w:val="0"/>
              <w:marBottom w:val="0"/>
              <w:divBdr>
                <w:top w:val="none" w:sz="0" w:space="0" w:color="auto"/>
                <w:left w:val="none" w:sz="0" w:space="0" w:color="auto"/>
                <w:bottom w:val="none" w:sz="0" w:space="0" w:color="auto"/>
                <w:right w:val="none" w:sz="0" w:space="0" w:color="auto"/>
              </w:divBdr>
            </w:div>
            <w:div w:id="1717241397">
              <w:marLeft w:val="0"/>
              <w:marRight w:val="0"/>
              <w:marTop w:val="0"/>
              <w:marBottom w:val="0"/>
              <w:divBdr>
                <w:top w:val="none" w:sz="0" w:space="0" w:color="auto"/>
                <w:left w:val="none" w:sz="0" w:space="0" w:color="auto"/>
                <w:bottom w:val="none" w:sz="0" w:space="0" w:color="auto"/>
                <w:right w:val="none" w:sz="0" w:space="0" w:color="auto"/>
              </w:divBdr>
            </w:div>
            <w:div w:id="592475944">
              <w:marLeft w:val="0"/>
              <w:marRight w:val="0"/>
              <w:marTop w:val="0"/>
              <w:marBottom w:val="0"/>
              <w:divBdr>
                <w:top w:val="none" w:sz="0" w:space="0" w:color="auto"/>
                <w:left w:val="none" w:sz="0" w:space="0" w:color="auto"/>
                <w:bottom w:val="none" w:sz="0" w:space="0" w:color="auto"/>
                <w:right w:val="none" w:sz="0" w:space="0" w:color="auto"/>
              </w:divBdr>
            </w:div>
            <w:div w:id="1592616330">
              <w:marLeft w:val="0"/>
              <w:marRight w:val="0"/>
              <w:marTop w:val="0"/>
              <w:marBottom w:val="0"/>
              <w:divBdr>
                <w:top w:val="none" w:sz="0" w:space="0" w:color="auto"/>
                <w:left w:val="none" w:sz="0" w:space="0" w:color="auto"/>
                <w:bottom w:val="none" w:sz="0" w:space="0" w:color="auto"/>
                <w:right w:val="none" w:sz="0" w:space="0" w:color="auto"/>
              </w:divBdr>
            </w:div>
            <w:div w:id="365913195">
              <w:marLeft w:val="0"/>
              <w:marRight w:val="0"/>
              <w:marTop w:val="0"/>
              <w:marBottom w:val="0"/>
              <w:divBdr>
                <w:top w:val="none" w:sz="0" w:space="0" w:color="auto"/>
                <w:left w:val="none" w:sz="0" w:space="0" w:color="auto"/>
                <w:bottom w:val="none" w:sz="0" w:space="0" w:color="auto"/>
                <w:right w:val="none" w:sz="0" w:space="0" w:color="auto"/>
              </w:divBdr>
            </w:div>
            <w:div w:id="1958297606">
              <w:marLeft w:val="0"/>
              <w:marRight w:val="0"/>
              <w:marTop w:val="0"/>
              <w:marBottom w:val="0"/>
              <w:divBdr>
                <w:top w:val="none" w:sz="0" w:space="0" w:color="auto"/>
                <w:left w:val="none" w:sz="0" w:space="0" w:color="auto"/>
                <w:bottom w:val="none" w:sz="0" w:space="0" w:color="auto"/>
                <w:right w:val="none" w:sz="0" w:space="0" w:color="auto"/>
              </w:divBdr>
            </w:div>
            <w:div w:id="997343618">
              <w:marLeft w:val="0"/>
              <w:marRight w:val="0"/>
              <w:marTop w:val="0"/>
              <w:marBottom w:val="0"/>
              <w:divBdr>
                <w:top w:val="none" w:sz="0" w:space="0" w:color="auto"/>
                <w:left w:val="none" w:sz="0" w:space="0" w:color="auto"/>
                <w:bottom w:val="none" w:sz="0" w:space="0" w:color="auto"/>
                <w:right w:val="none" w:sz="0" w:space="0" w:color="auto"/>
              </w:divBdr>
            </w:div>
            <w:div w:id="7188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2516">
      <w:bodyDiv w:val="1"/>
      <w:marLeft w:val="0"/>
      <w:marRight w:val="0"/>
      <w:marTop w:val="0"/>
      <w:marBottom w:val="0"/>
      <w:divBdr>
        <w:top w:val="none" w:sz="0" w:space="0" w:color="auto"/>
        <w:left w:val="none" w:sz="0" w:space="0" w:color="auto"/>
        <w:bottom w:val="none" w:sz="0" w:space="0" w:color="auto"/>
        <w:right w:val="none" w:sz="0" w:space="0" w:color="auto"/>
      </w:divBdr>
      <w:divsChild>
        <w:div w:id="1178690827">
          <w:marLeft w:val="0"/>
          <w:marRight w:val="0"/>
          <w:marTop w:val="0"/>
          <w:marBottom w:val="0"/>
          <w:divBdr>
            <w:top w:val="none" w:sz="0" w:space="0" w:color="auto"/>
            <w:left w:val="none" w:sz="0" w:space="0" w:color="auto"/>
            <w:bottom w:val="none" w:sz="0" w:space="0" w:color="auto"/>
            <w:right w:val="none" w:sz="0" w:space="0" w:color="auto"/>
          </w:divBdr>
          <w:divsChild>
            <w:div w:id="1392846023">
              <w:marLeft w:val="0"/>
              <w:marRight w:val="0"/>
              <w:marTop w:val="0"/>
              <w:marBottom w:val="0"/>
              <w:divBdr>
                <w:top w:val="none" w:sz="0" w:space="0" w:color="auto"/>
                <w:left w:val="none" w:sz="0" w:space="0" w:color="auto"/>
                <w:bottom w:val="none" w:sz="0" w:space="0" w:color="auto"/>
                <w:right w:val="none" w:sz="0" w:space="0" w:color="auto"/>
              </w:divBdr>
            </w:div>
            <w:div w:id="2079399106">
              <w:marLeft w:val="0"/>
              <w:marRight w:val="0"/>
              <w:marTop w:val="0"/>
              <w:marBottom w:val="0"/>
              <w:divBdr>
                <w:top w:val="none" w:sz="0" w:space="0" w:color="auto"/>
                <w:left w:val="none" w:sz="0" w:space="0" w:color="auto"/>
                <w:bottom w:val="none" w:sz="0" w:space="0" w:color="auto"/>
                <w:right w:val="none" w:sz="0" w:space="0" w:color="auto"/>
              </w:divBdr>
            </w:div>
            <w:div w:id="1275331921">
              <w:marLeft w:val="0"/>
              <w:marRight w:val="0"/>
              <w:marTop w:val="0"/>
              <w:marBottom w:val="0"/>
              <w:divBdr>
                <w:top w:val="none" w:sz="0" w:space="0" w:color="auto"/>
                <w:left w:val="none" w:sz="0" w:space="0" w:color="auto"/>
                <w:bottom w:val="none" w:sz="0" w:space="0" w:color="auto"/>
                <w:right w:val="none" w:sz="0" w:space="0" w:color="auto"/>
              </w:divBdr>
            </w:div>
            <w:div w:id="2056081497">
              <w:marLeft w:val="0"/>
              <w:marRight w:val="0"/>
              <w:marTop w:val="0"/>
              <w:marBottom w:val="0"/>
              <w:divBdr>
                <w:top w:val="none" w:sz="0" w:space="0" w:color="auto"/>
                <w:left w:val="none" w:sz="0" w:space="0" w:color="auto"/>
                <w:bottom w:val="none" w:sz="0" w:space="0" w:color="auto"/>
                <w:right w:val="none" w:sz="0" w:space="0" w:color="auto"/>
              </w:divBdr>
            </w:div>
            <w:div w:id="375204044">
              <w:marLeft w:val="0"/>
              <w:marRight w:val="0"/>
              <w:marTop w:val="0"/>
              <w:marBottom w:val="0"/>
              <w:divBdr>
                <w:top w:val="none" w:sz="0" w:space="0" w:color="auto"/>
                <w:left w:val="none" w:sz="0" w:space="0" w:color="auto"/>
                <w:bottom w:val="none" w:sz="0" w:space="0" w:color="auto"/>
                <w:right w:val="none" w:sz="0" w:space="0" w:color="auto"/>
              </w:divBdr>
            </w:div>
            <w:div w:id="476189636">
              <w:marLeft w:val="0"/>
              <w:marRight w:val="0"/>
              <w:marTop w:val="0"/>
              <w:marBottom w:val="0"/>
              <w:divBdr>
                <w:top w:val="none" w:sz="0" w:space="0" w:color="auto"/>
                <w:left w:val="none" w:sz="0" w:space="0" w:color="auto"/>
                <w:bottom w:val="none" w:sz="0" w:space="0" w:color="auto"/>
                <w:right w:val="none" w:sz="0" w:space="0" w:color="auto"/>
              </w:divBdr>
            </w:div>
            <w:div w:id="13364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3390">
      <w:bodyDiv w:val="1"/>
      <w:marLeft w:val="0"/>
      <w:marRight w:val="0"/>
      <w:marTop w:val="0"/>
      <w:marBottom w:val="0"/>
      <w:divBdr>
        <w:top w:val="none" w:sz="0" w:space="0" w:color="auto"/>
        <w:left w:val="none" w:sz="0" w:space="0" w:color="auto"/>
        <w:bottom w:val="none" w:sz="0" w:space="0" w:color="auto"/>
        <w:right w:val="none" w:sz="0" w:space="0" w:color="auto"/>
      </w:divBdr>
      <w:divsChild>
        <w:div w:id="670836909">
          <w:marLeft w:val="0"/>
          <w:marRight w:val="0"/>
          <w:marTop w:val="0"/>
          <w:marBottom w:val="0"/>
          <w:divBdr>
            <w:top w:val="none" w:sz="0" w:space="0" w:color="auto"/>
            <w:left w:val="none" w:sz="0" w:space="0" w:color="auto"/>
            <w:bottom w:val="none" w:sz="0" w:space="0" w:color="auto"/>
            <w:right w:val="none" w:sz="0" w:space="0" w:color="auto"/>
          </w:divBdr>
          <w:divsChild>
            <w:div w:id="914708137">
              <w:marLeft w:val="0"/>
              <w:marRight w:val="0"/>
              <w:marTop w:val="0"/>
              <w:marBottom w:val="0"/>
              <w:divBdr>
                <w:top w:val="none" w:sz="0" w:space="0" w:color="auto"/>
                <w:left w:val="none" w:sz="0" w:space="0" w:color="auto"/>
                <w:bottom w:val="none" w:sz="0" w:space="0" w:color="auto"/>
                <w:right w:val="none" w:sz="0" w:space="0" w:color="auto"/>
              </w:divBdr>
            </w:div>
            <w:div w:id="714426137">
              <w:marLeft w:val="0"/>
              <w:marRight w:val="0"/>
              <w:marTop w:val="0"/>
              <w:marBottom w:val="0"/>
              <w:divBdr>
                <w:top w:val="none" w:sz="0" w:space="0" w:color="auto"/>
                <w:left w:val="none" w:sz="0" w:space="0" w:color="auto"/>
                <w:bottom w:val="none" w:sz="0" w:space="0" w:color="auto"/>
                <w:right w:val="none" w:sz="0" w:space="0" w:color="auto"/>
              </w:divBdr>
            </w:div>
            <w:div w:id="656081009">
              <w:marLeft w:val="0"/>
              <w:marRight w:val="0"/>
              <w:marTop w:val="0"/>
              <w:marBottom w:val="0"/>
              <w:divBdr>
                <w:top w:val="none" w:sz="0" w:space="0" w:color="auto"/>
                <w:left w:val="none" w:sz="0" w:space="0" w:color="auto"/>
                <w:bottom w:val="none" w:sz="0" w:space="0" w:color="auto"/>
                <w:right w:val="none" w:sz="0" w:space="0" w:color="auto"/>
              </w:divBdr>
            </w:div>
            <w:div w:id="17897568">
              <w:marLeft w:val="0"/>
              <w:marRight w:val="0"/>
              <w:marTop w:val="0"/>
              <w:marBottom w:val="0"/>
              <w:divBdr>
                <w:top w:val="none" w:sz="0" w:space="0" w:color="auto"/>
                <w:left w:val="none" w:sz="0" w:space="0" w:color="auto"/>
                <w:bottom w:val="none" w:sz="0" w:space="0" w:color="auto"/>
                <w:right w:val="none" w:sz="0" w:space="0" w:color="auto"/>
              </w:divBdr>
            </w:div>
            <w:div w:id="620646901">
              <w:marLeft w:val="0"/>
              <w:marRight w:val="0"/>
              <w:marTop w:val="0"/>
              <w:marBottom w:val="0"/>
              <w:divBdr>
                <w:top w:val="none" w:sz="0" w:space="0" w:color="auto"/>
                <w:left w:val="none" w:sz="0" w:space="0" w:color="auto"/>
                <w:bottom w:val="none" w:sz="0" w:space="0" w:color="auto"/>
                <w:right w:val="none" w:sz="0" w:space="0" w:color="auto"/>
              </w:divBdr>
            </w:div>
            <w:div w:id="1419407290">
              <w:marLeft w:val="0"/>
              <w:marRight w:val="0"/>
              <w:marTop w:val="0"/>
              <w:marBottom w:val="0"/>
              <w:divBdr>
                <w:top w:val="none" w:sz="0" w:space="0" w:color="auto"/>
                <w:left w:val="none" w:sz="0" w:space="0" w:color="auto"/>
                <w:bottom w:val="none" w:sz="0" w:space="0" w:color="auto"/>
                <w:right w:val="none" w:sz="0" w:space="0" w:color="auto"/>
              </w:divBdr>
            </w:div>
            <w:div w:id="1368526815">
              <w:marLeft w:val="0"/>
              <w:marRight w:val="0"/>
              <w:marTop w:val="0"/>
              <w:marBottom w:val="0"/>
              <w:divBdr>
                <w:top w:val="none" w:sz="0" w:space="0" w:color="auto"/>
                <w:left w:val="none" w:sz="0" w:space="0" w:color="auto"/>
                <w:bottom w:val="none" w:sz="0" w:space="0" w:color="auto"/>
                <w:right w:val="none" w:sz="0" w:space="0" w:color="auto"/>
              </w:divBdr>
            </w:div>
            <w:div w:id="17974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628">
      <w:bodyDiv w:val="1"/>
      <w:marLeft w:val="0"/>
      <w:marRight w:val="0"/>
      <w:marTop w:val="0"/>
      <w:marBottom w:val="0"/>
      <w:divBdr>
        <w:top w:val="none" w:sz="0" w:space="0" w:color="auto"/>
        <w:left w:val="none" w:sz="0" w:space="0" w:color="auto"/>
        <w:bottom w:val="none" w:sz="0" w:space="0" w:color="auto"/>
        <w:right w:val="none" w:sz="0" w:space="0" w:color="auto"/>
      </w:divBdr>
    </w:div>
    <w:div w:id="790442498">
      <w:bodyDiv w:val="1"/>
      <w:marLeft w:val="0"/>
      <w:marRight w:val="0"/>
      <w:marTop w:val="0"/>
      <w:marBottom w:val="0"/>
      <w:divBdr>
        <w:top w:val="none" w:sz="0" w:space="0" w:color="auto"/>
        <w:left w:val="none" w:sz="0" w:space="0" w:color="auto"/>
        <w:bottom w:val="none" w:sz="0" w:space="0" w:color="auto"/>
        <w:right w:val="none" w:sz="0" w:space="0" w:color="auto"/>
      </w:divBdr>
    </w:div>
    <w:div w:id="824130525">
      <w:bodyDiv w:val="1"/>
      <w:marLeft w:val="0"/>
      <w:marRight w:val="0"/>
      <w:marTop w:val="0"/>
      <w:marBottom w:val="0"/>
      <w:divBdr>
        <w:top w:val="none" w:sz="0" w:space="0" w:color="auto"/>
        <w:left w:val="none" w:sz="0" w:space="0" w:color="auto"/>
        <w:bottom w:val="none" w:sz="0" w:space="0" w:color="auto"/>
        <w:right w:val="none" w:sz="0" w:space="0" w:color="auto"/>
      </w:divBdr>
    </w:div>
    <w:div w:id="906571058">
      <w:bodyDiv w:val="1"/>
      <w:marLeft w:val="0"/>
      <w:marRight w:val="0"/>
      <w:marTop w:val="0"/>
      <w:marBottom w:val="0"/>
      <w:divBdr>
        <w:top w:val="none" w:sz="0" w:space="0" w:color="auto"/>
        <w:left w:val="none" w:sz="0" w:space="0" w:color="auto"/>
        <w:bottom w:val="none" w:sz="0" w:space="0" w:color="auto"/>
        <w:right w:val="none" w:sz="0" w:space="0" w:color="auto"/>
      </w:divBdr>
    </w:div>
    <w:div w:id="960305168">
      <w:bodyDiv w:val="1"/>
      <w:marLeft w:val="0"/>
      <w:marRight w:val="0"/>
      <w:marTop w:val="0"/>
      <w:marBottom w:val="0"/>
      <w:divBdr>
        <w:top w:val="none" w:sz="0" w:space="0" w:color="auto"/>
        <w:left w:val="none" w:sz="0" w:space="0" w:color="auto"/>
        <w:bottom w:val="none" w:sz="0" w:space="0" w:color="auto"/>
        <w:right w:val="none" w:sz="0" w:space="0" w:color="auto"/>
      </w:divBdr>
      <w:divsChild>
        <w:div w:id="200291633">
          <w:marLeft w:val="0"/>
          <w:marRight w:val="0"/>
          <w:marTop w:val="0"/>
          <w:marBottom w:val="0"/>
          <w:divBdr>
            <w:top w:val="none" w:sz="0" w:space="0" w:color="auto"/>
            <w:left w:val="none" w:sz="0" w:space="0" w:color="auto"/>
            <w:bottom w:val="none" w:sz="0" w:space="0" w:color="auto"/>
            <w:right w:val="none" w:sz="0" w:space="0" w:color="auto"/>
          </w:divBdr>
          <w:divsChild>
            <w:div w:id="971902686">
              <w:marLeft w:val="0"/>
              <w:marRight w:val="0"/>
              <w:marTop w:val="0"/>
              <w:marBottom w:val="0"/>
              <w:divBdr>
                <w:top w:val="none" w:sz="0" w:space="0" w:color="auto"/>
                <w:left w:val="none" w:sz="0" w:space="0" w:color="auto"/>
                <w:bottom w:val="none" w:sz="0" w:space="0" w:color="auto"/>
                <w:right w:val="none" w:sz="0" w:space="0" w:color="auto"/>
              </w:divBdr>
            </w:div>
            <w:div w:id="1994985391">
              <w:marLeft w:val="0"/>
              <w:marRight w:val="0"/>
              <w:marTop w:val="0"/>
              <w:marBottom w:val="0"/>
              <w:divBdr>
                <w:top w:val="none" w:sz="0" w:space="0" w:color="auto"/>
                <w:left w:val="none" w:sz="0" w:space="0" w:color="auto"/>
                <w:bottom w:val="none" w:sz="0" w:space="0" w:color="auto"/>
                <w:right w:val="none" w:sz="0" w:space="0" w:color="auto"/>
              </w:divBdr>
            </w:div>
            <w:div w:id="1169634792">
              <w:marLeft w:val="0"/>
              <w:marRight w:val="0"/>
              <w:marTop w:val="0"/>
              <w:marBottom w:val="0"/>
              <w:divBdr>
                <w:top w:val="none" w:sz="0" w:space="0" w:color="auto"/>
                <w:left w:val="none" w:sz="0" w:space="0" w:color="auto"/>
                <w:bottom w:val="none" w:sz="0" w:space="0" w:color="auto"/>
                <w:right w:val="none" w:sz="0" w:space="0" w:color="auto"/>
              </w:divBdr>
            </w:div>
            <w:div w:id="737366918">
              <w:marLeft w:val="0"/>
              <w:marRight w:val="0"/>
              <w:marTop w:val="0"/>
              <w:marBottom w:val="0"/>
              <w:divBdr>
                <w:top w:val="none" w:sz="0" w:space="0" w:color="auto"/>
                <w:left w:val="none" w:sz="0" w:space="0" w:color="auto"/>
                <w:bottom w:val="none" w:sz="0" w:space="0" w:color="auto"/>
                <w:right w:val="none" w:sz="0" w:space="0" w:color="auto"/>
              </w:divBdr>
            </w:div>
            <w:div w:id="1538351566">
              <w:marLeft w:val="0"/>
              <w:marRight w:val="0"/>
              <w:marTop w:val="0"/>
              <w:marBottom w:val="0"/>
              <w:divBdr>
                <w:top w:val="none" w:sz="0" w:space="0" w:color="auto"/>
                <w:left w:val="none" w:sz="0" w:space="0" w:color="auto"/>
                <w:bottom w:val="none" w:sz="0" w:space="0" w:color="auto"/>
                <w:right w:val="none" w:sz="0" w:space="0" w:color="auto"/>
              </w:divBdr>
            </w:div>
            <w:div w:id="8396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090">
      <w:bodyDiv w:val="1"/>
      <w:marLeft w:val="0"/>
      <w:marRight w:val="0"/>
      <w:marTop w:val="0"/>
      <w:marBottom w:val="0"/>
      <w:divBdr>
        <w:top w:val="none" w:sz="0" w:space="0" w:color="auto"/>
        <w:left w:val="none" w:sz="0" w:space="0" w:color="auto"/>
        <w:bottom w:val="none" w:sz="0" w:space="0" w:color="auto"/>
        <w:right w:val="none" w:sz="0" w:space="0" w:color="auto"/>
      </w:divBdr>
      <w:divsChild>
        <w:div w:id="704136455">
          <w:marLeft w:val="0"/>
          <w:marRight w:val="0"/>
          <w:marTop w:val="0"/>
          <w:marBottom w:val="0"/>
          <w:divBdr>
            <w:top w:val="none" w:sz="0" w:space="0" w:color="auto"/>
            <w:left w:val="none" w:sz="0" w:space="0" w:color="auto"/>
            <w:bottom w:val="none" w:sz="0" w:space="0" w:color="auto"/>
            <w:right w:val="none" w:sz="0" w:space="0" w:color="auto"/>
          </w:divBdr>
          <w:divsChild>
            <w:div w:id="425076497">
              <w:marLeft w:val="0"/>
              <w:marRight w:val="0"/>
              <w:marTop w:val="0"/>
              <w:marBottom w:val="0"/>
              <w:divBdr>
                <w:top w:val="none" w:sz="0" w:space="0" w:color="auto"/>
                <w:left w:val="none" w:sz="0" w:space="0" w:color="auto"/>
                <w:bottom w:val="none" w:sz="0" w:space="0" w:color="auto"/>
                <w:right w:val="none" w:sz="0" w:space="0" w:color="auto"/>
              </w:divBdr>
            </w:div>
            <w:div w:id="1526362901">
              <w:marLeft w:val="0"/>
              <w:marRight w:val="0"/>
              <w:marTop w:val="0"/>
              <w:marBottom w:val="0"/>
              <w:divBdr>
                <w:top w:val="none" w:sz="0" w:space="0" w:color="auto"/>
                <w:left w:val="none" w:sz="0" w:space="0" w:color="auto"/>
                <w:bottom w:val="none" w:sz="0" w:space="0" w:color="auto"/>
                <w:right w:val="none" w:sz="0" w:space="0" w:color="auto"/>
              </w:divBdr>
            </w:div>
            <w:div w:id="697925422">
              <w:marLeft w:val="0"/>
              <w:marRight w:val="0"/>
              <w:marTop w:val="0"/>
              <w:marBottom w:val="0"/>
              <w:divBdr>
                <w:top w:val="none" w:sz="0" w:space="0" w:color="auto"/>
                <w:left w:val="none" w:sz="0" w:space="0" w:color="auto"/>
                <w:bottom w:val="none" w:sz="0" w:space="0" w:color="auto"/>
                <w:right w:val="none" w:sz="0" w:space="0" w:color="auto"/>
              </w:divBdr>
            </w:div>
            <w:div w:id="828406833">
              <w:marLeft w:val="0"/>
              <w:marRight w:val="0"/>
              <w:marTop w:val="0"/>
              <w:marBottom w:val="0"/>
              <w:divBdr>
                <w:top w:val="none" w:sz="0" w:space="0" w:color="auto"/>
                <w:left w:val="none" w:sz="0" w:space="0" w:color="auto"/>
                <w:bottom w:val="none" w:sz="0" w:space="0" w:color="auto"/>
                <w:right w:val="none" w:sz="0" w:space="0" w:color="auto"/>
              </w:divBdr>
            </w:div>
            <w:div w:id="349377930">
              <w:marLeft w:val="0"/>
              <w:marRight w:val="0"/>
              <w:marTop w:val="0"/>
              <w:marBottom w:val="0"/>
              <w:divBdr>
                <w:top w:val="none" w:sz="0" w:space="0" w:color="auto"/>
                <w:left w:val="none" w:sz="0" w:space="0" w:color="auto"/>
                <w:bottom w:val="none" w:sz="0" w:space="0" w:color="auto"/>
                <w:right w:val="none" w:sz="0" w:space="0" w:color="auto"/>
              </w:divBdr>
            </w:div>
            <w:div w:id="1583101309">
              <w:marLeft w:val="0"/>
              <w:marRight w:val="0"/>
              <w:marTop w:val="0"/>
              <w:marBottom w:val="0"/>
              <w:divBdr>
                <w:top w:val="none" w:sz="0" w:space="0" w:color="auto"/>
                <w:left w:val="none" w:sz="0" w:space="0" w:color="auto"/>
                <w:bottom w:val="none" w:sz="0" w:space="0" w:color="auto"/>
                <w:right w:val="none" w:sz="0" w:space="0" w:color="auto"/>
              </w:divBdr>
            </w:div>
            <w:div w:id="3230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a.gonzalez\Downloads\lrec-2026-word-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2c202fc-011b-4e26-8c44-f2cfa4c279bc" xsi:nil="true"/>
    <lcf76f155ced4ddcb4097134ff3c332f xmlns="62f7326d-23c9-4c29-8c57-4f24d8722e7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195E5A655B1F419BEA189A3A95C299" ma:contentTypeVersion="10" ma:contentTypeDescription="Crée un document." ma:contentTypeScope="" ma:versionID="2565b4d261c143ebfe75fd259b6bcd59">
  <xsd:schema xmlns:xsd="http://www.w3.org/2001/XMLSchema" xmlns:xs="http://www.w3.org/2001/XMLSchema" xmlns:p="http://schemas.microsoft.com/office/2006/metadata/properties" xmlns:ns2="62f7326d-23c9-4c29-8c57-4f24d8722e7e" xmlns:ns3="22c202fc-011b-4e26-8c44-f2cfa4c279bc" targetNamespace="http://schemas.microsoft.com/office/2006/metadata/properties" ma:root="true" ma:fieldsID="d72157d5b0c62b9f9755a627728cfd03" ns2:_="" ns3:_="">
    <xsd:import namespace="62f7326d-23c9-4c29-8c57-4f24d8722e7e"/>
    <xsd:import namespace="22c202fc-011b-4e26-8c44-f2cfa4c279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326d-23c9-4c29-8c57-4f24d8722e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c39919-6758-4019-9234-a7f3bf1d74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202fc-011b-4e26-8c44-f2cfa4c279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e3fc06-889c-4d36-87a1-20a483eab32d}" ma:internalName="TaxCatchAll" ma:showField="CatchAllData" ma:web="22c202fc-011b-4e26-8c44-f2cfa4c279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619DD0-44FF-45CC-A1AA-11DEFCB71573}">
  <ds:schemaRefs>
    <ds:schemaRef ds:uri="http://schemas.openxmlformats.org/officeDocument/2006/bibliography"/>
  </ds:schemaRefs>
</ds:datastoreItem>
</file>

<file path=customXml/itemProps2.xml><?xml version="1.0" encoding="utf-8"?>
<ds:datastoreItem xmlns:ds="http://schemas.openxmlformats.org/officeDocument/2006/customXml" ds:itemID="{D9C12D68-2805-4693-88ED-D456E27B80A9}">
  <ds:schemaRefs>
    <ds:schemaRef ds:uri="http://schemas.microsoft.com/office/2006/metadata/properties"/>
    <ds:schemaRef ds:uri="http://schemas.microsoft.com/office/infopath/2007/PartnerControls"/>
    <ds:schemaRef ds:uri="22c202fc-011b-4e26-8c44-f2cfa4c279bc"/>
    <ds:schemaRef ds:uri="62f7326d-23c9-4c29-8c57-4f24d8722e7e"/>
  </ds:schemaRefs>
</ds:datastoreItem>
</file>

<file path=customXml/itemProps3.xml><?xml version="1.0" encoding="utf-8"?>
<ds:datastoreItem xmlns:ds="http://schemas.openxmlformats.org/officeDocument/2006/customXml" ds:itemID="{534D3452-20BD-4AA2-9FDF-9A4B15CAE6F5}">
  <ds:schemaRefs>
    <ds:schemaRef ds:uri="http://schemas.microsoft.com/sharepoint/v3/contenttype/forms"/>
  </ds:schemaRefs>
</ds:datastoreItem>
</file>

<file path=customXml/itemProps4.xml><?xml version="1.0" encoding="utf-8"?>
<ds:datastoreItem xmlns:ds="http://schemas.openxmlformats.org/officeDocument/2006/customXml" ds:itemID="{CF2E338C-B3A7-4820-B3AF-6468A979A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326d-23c9-4c29-8c57-4f24d8722e7e"/>
    <ds:schemaRef ds:uri="22c202fc-011b-4e26-8c44-f2cfa4c279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C:\Users\fernanda.gonzalez\Downloads\lrec-2026-word-template.dotx</Template>
  <TotalTime>38</TotalTime>
  <Pages>8</Pages>
  <Words>5830</Words>
  <Characters>33237</Characters>
  <Application>Microsoft Office Word</Application>
  <DocSecurity>0</DocSecurity>
  <Lines>276</Lines>
  <Paragraphs>77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González Campo</dc:creator>
  <cp:keywords/>
  <dc:description/>
  <cp:lastModifiedBy>fcalado</cp:lastModifiedBy>
  <cp:revision>9</cp:revision>
  <cp:lastPrinted>2021-09-21T09:48:00Z</cp:lastPrinted>
  <dcterms:created xsi:type="dcterms:W3CDTF">2026-02-24T19:27:00Z</dcterms:created>
  <dcterms:modified xsi:type="dcterms:W3CDTF">2026-02-25T18:09:00Z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0x01010078195E5A655B1F419BEA189A3A95C299</vt:lpwstr>
  </property>
</Properties>
</file>