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51753" w:rsidRDefault="00AB418D">
      <w:r>
        <w:t>Bank</w:t>
      </w:r>
    </w:p>
    <w:p w:rsidR="00AB418D" w:rsidRDefault="00AB418D"/>
    <w:p w:rsidR="00AB418D" w:rsidRDefault="00AB418D" w:rsidP="00AB418D">
      <w:pPr>
        <w:pStyle w:val="BodyText"/>
        <w:spacing w:line="480" w:lineRule="auto"/>
        <w:rPr>
          <w:color w:val="000000" w:themeColor="text1"/>
        </w:rPr>
      </w:pPr>
    </w:p>
    <w:p w:rsidR="00AB418D" w:rsidRDefault="00AB418D" w:rsidP="00AB418D">
      <w:pPr>
        <w:pStyle w:val="BodyText"/>
        <w:spacing w:line="480" w:lineRule="auto"/>
        <w:rPr>
          <w:color w:val="000000" w:themeColor="text1"/>
        </w:rPr>
      </w:pPr>
      <w:r>
        <w:rPr>
          <w:color w:val="000000" w:themeColor="text1"/>
        </w:rPr>
        <w:t>FLOATING</w:t>
      </w:r>
    </w:p>
    <w:p w:rsidR="00AB418D" w:rsidRDefault="00AB418D" w:rsidP="00AB418D">
      <w:pPr>
        <w:pStyle w:val="BodyText"/>
        <w:spacing w:line="480" w:lineRule="auto"/>
        <w:rPr>
          <w:color w:val="000000" w:themeColor="text1"/>
        </w:rPr>
      </w:pPr>
      <w:r>
        <w:rPr>
          <w:color w:val="000000" w:themeColor="text1"/>
        </w:rPr>
        <w:t xml:space="preserve">The </w:t>
      </w:r>
      <w:r w:rsidRPr="006B4DF7">
        <w:rPr>
          <w:color w:val="000000" w:themeColor="text1"/>
        </w:rPr>
        <w:t xml:space="preserve">connection created by this union, whose linkage of neural pathways between two bodies scrambles the distinctions between </w:t>
      </w:r>
      <w:r>
        <w:rPr>
          <w:color w:val="000000" w:themeColor="text1"/>
        </w:rPr>
        <w:t>thought</w:t>
      </w:r>
      <w:r w:rsidRPr="006B4DF7">
        <w:rPr>
          <w:color w:val="000000" w:themeColor="text1"/>
        </w:rPr>
        <w:t xml:space="preserve"> and </w:t>
      </w:r>
      <w:r>
        <w:rPr>
          <w:color w:val="000000" w:themeColor="text1"/>
        </w:rPr>
        <w:t>sensation</w:t>
      </w:r>
      <w:r w:rsidRPr="006B4DF7">
        <w:rPr>
          <w:color w:val="000000" w:themeColor="text1"/>
        </w:rPr>
        <w:t xml:space="preserve">, a clash of registers that blends the materiality of the flesh with the abstraction of cognitive processes. </w:t>
      </w:r>
    </w:p>
    <w:p w:rsidR="00AB418D" w:rsidRDefault="00AB418D" w:rsidP="00AB418D"/>
    <w:p w:rsidR="00AB418D" w:rsidRDefault="00AB418D" w:rsidP="00AB418D">
      <w:pPr>
        <w:pStyle w:val="BodyText"/>
        <w:spacing w:line="480" w:lineRule="auto"/>
        <w:rPr>
          <w:color w:val="000000" w:themeColor="text1"/>
        </w:rPr>
      </w:pPr>
    </w:p>
    <w:p w:rsidR="00AB418D" w:rsidRDefault="00AB418D" w:rsidP="00AB418D">
      <w:pPr>
        <w:pStyle w:val="BodyText"/>
      </w:pPr>
    </w:p>
    <w:p w:rsidR="00AB418D" w:rsidRDefault="00AB418D" w:rsidP="00AB418D">
      <w:pPr>
        <w:pStyle w:val="BodyText"/>
        <w:spacing w:line="480" w:lineRule="auto"/>
        <w:rPr>
          <w:color w:val="000000" w:themeColor="text1"/>
        </w:rPr>
      </w:pPr>
      <w:r w:rsidRPr="006B4DF7">
        <w:rPr>
          <w:color w:val="000000" w:themeColor="text1"/>
        </w:rPr>
        <w:t>In human-alien sex, the</w:t>
      </w:r>
      <w:r>
        <w:rPr>
          <w:color w:val="000000" w:themeColor="text1"/>
        </w:rPr>
        <w:t xml:space="preserve"> neural</w:t>
      </w:r>
      <w:r w:rsidRPr="006B4DF7">
        <w:rPr>
          <w:color w:val="000000" w:themeColor="text1"/>
        </w:rPr>
        <w:t xml:space="preserve"> </w:t>
      </w:r>
      <w:r>
        <w:rPr>
          <w:color w:val="000000" w:themeColor="text1"/>
        </w:rPr>
        <w:t>connection</w:t>
      </w:r>
      <w:r w:rsidRPr="006B4DF7">
        <w:rPr>
          <w:color w:val="000000" w:themeColor="text1"/>
        </w:rPr>
        <w:t xml:space="preserve"> between minds surfaces a sensation of exactly that which th</w:t>
      </w:r>
      <w:r>
        <w:rPr>
          <w:color w:val="000000" w:themeColor="text1"/>
        </w:rPr>
        <w:t xml:space="preserve">is </w:t>
      </w:r>
      <w:r w:rsidRPr="006B4DF7">
        <w:rPr>
          <w:color w:val="000000" w:themeColor="text1"/>
        </w:rPr>
        <w:t>connection bypasses</w:t>
      </w:r>
      <w:r>
        <w:rPr>
          <w:color w:val="000000" w:themeColor="text1"/>
        </w:rPr>
        <w:t>—</w:t>
      </w:r>
      <w:r w:rsidRPr="006B4DF7">
        <w:rPr>
          <w:color w:val="000000" w:themeColor="text1"/>
        </w:rPr>
        <w:t xml:space="preserve">the </w:t>
      </w:r>
      <w:r>
        <w:rPr>
          <w:color w:val="000000" w:themeColor="text1"/>
        </w:rPr>
        <w:t>body</w:t>
      </w:r>
      <w:r w:rsidRPr="006B4DF7">
        <w:rPr>
          <w:color w:val="000000" w:themeColor="text1"/>
        </w:rPr>
        <w:t>.</w:t>
      </w:r>
      <w:r>
        <w:rPr>
          <w:color w:val="000000" w:themeColor="text1"/>
        </w:rPr>
        <w:t xml:space="preserve"> </w:t>
      </w:r>
      <w:r w:rsidRPr="00F27A3A">
        <w:rPr>
          <w:color w:val="000000" w:themeColor="text1"/>
        </w:rPr>
        <w:t>The bypassing of outer body simultaneously invigorate</w:t>
      </w:r>
      <w:r>
        <w:rPr>
          <w:color w:val="000000" w:themeColor="text1"/>
        </w:rPr>
        <w:t>s</w:t>
      </w:r>
      <w:r w:rsidRPr="00F27A3A">
        <w:rPr>
          <w:color w:val="000000" w:themeColor="text1"/>
        </w:rPr>
        <w:t xml:space="preserve"> fleshy sensation</w:t>
      </w:r>
      <w:r>
        <w:rPr>
          <w:color w:val="000000" w:themeColor="text1"/>
        </w:rPr>
        <w:t xml:space="preserve">. </w:t>
      </w:r>
    </w:p>
    <w:p w:rsidR="00AB418D" w:rsidRPr="004A503D" w:rsidRDefault="00AB418D" w:rsidP="00AB418D">
      <w:pPr>
        <w:pStyle w:val="BodyText"/>
      </w:pPr>
    </w:p>
    <w:p w:rsidR="00AB418D" w:rsidRDefault="00AB418D" w:rsidP="00AB418D">
      <w:pPr>
        <w:pStyle w:val="BodyText"/>
        <w:spacing w:line="480" w:lineRule="auto"/>
        <w:rPr>
          <w:color w:val="000000" w:themeColor="text1"/>
        </w:rPr>
      </w:pPr>
    </w:p>
    <w:p w:rsidR="00AB418D" w:rsidRPr="00F27A3A" w:rsidRDefault="00AB418D" w:rsidP="00AB418D">
      <w:pPr>
        <w:pStyle w:val="BodyText"/>
        <w:spacing w:line="480" w:lineRule="auto"/>
        <w:rPr>
          <w:color w:val="000000" w:themeColor="text1"/>
        </w:rPr>
      </w:pPr>
      <w:r w:rsidRPr="006B4DF7">
        <w:rPr>
          <w:color w:val="000000" w:themeColor="text1"/>
        </w:rPr>
        <w:t xml:space="preserve">This immediate connection facilitated by the </w:t>
      </w:r>
      <w:proofErr w:type="spellStart"/>
      <w:r w:rsidRPr="006B4DF7">
        <w:rPr>
          <w:color w:val="000000" w:themeColor="text1"/>
        </w:rPr>
        <w:t>ooloi</w:t>
      </w:r>
      <w:proofErr w:type="spellEnd"/>
      <w:r w:rsidRPr="006B4DF7">
        <w:rPr>
          <w:color w:val="000000" w:themeColor="text1"/>
        </w:rPr>
        <w:t xml:space="preserve"> offers, as </w:t>
      </w:r>
      <w:proofErr w:type="spellStart"/>
      <w:r w:rsidRPr="006B4DF7">
        <w:rPr>
          <w:color w:val="000000" w:themeColor="text1"/>
        </w:rPr>
        <w:t>Nikanj</w:t>
      </w:r>
      <w:proofErr w:type="spellEnd"/>
      <w:r w:rsidRPr="006B4DF7">
        <w:rPr>
          <w:color w:val="000000" w:themeColor="text1"/>
        </w:rPr>
        <w:t xml:space="preserve"> explains, it </w:t>
      </w:r>
      <w:r>
        <w:rPr>
          <w:color w:val="000000" w:themeColor="text1"/>
        </w:rPr>
        <w:t>“</w:t>
      </w:r>
      <w:r w:rsidRPr="006B4DF7">
        <w:rPr>
          <w:color w:val="000000" w:themeColor="text1"/>
        </w:rPr>
        <w:t>a oneness that your people strive for, dream of, but can</w:t>
      </w:r>
      <w:r>
        <w:rPr>
          <w:color w:val="000000" w:themeColor="text1"/>
        </w:rPr>
        <w:t>’</w:t>
      </w:r>
      <w:r w:rsidRPr="006B4DF7">
        <w:rPr>
          <w:color w:val="000000" w:themeColor="text1"/>
        </w:rPr>
        <w:t>t truly attain alone</w:t>
      </w:r>
      <w:r>
        <w:rPr>
          <w:color w:val="000000" w:themeColor="text1"/>
        </w:rPr>
        <w:t>”</w:t>
      </w:r>
      <w:r w:rsidRPr="006B4DF7">
        <w:rPr>
          <w:color w:val="000000" w:themeColor="text1"/>
        </w:rPr>
        <w:t xml:space="preserve"> (359). The pleasures that come from</w:t>
      </w:r>
      <w:r w:rsidRPr="00F27A3A">
        <w:rPr>
          <w:color w:val="000000" w:themeColor="text1"/>
        </w:rPr>
        <w:t xml:space="preserve"> physical sensation, the feeling of which is heightened in sex, is what enables the </w:t>
      </w:r>
      <w:proofErr w:type="spellStart"/>
      <w:r w:rsidRPr="00F27A3A">
        <w:rPr>
          <w:color w:val="000000" w:themeColor="text1"/>
        </w:rPr>
        <w:t>Oankali</w:t>
      </w:r>
      <w:proofErr w:type="spellEnd"/>
      <w:r>
        <w:rPr>
          <w:color w:val="000000" w:themeColor="text1"/>
        </w:rPr>
        <w:t xml:space="preserve"> </w:t>
      </w:r>
      <w:r w:rsidRPr="00F27A3A">
        <w:rPr>
          <w:color w:val="000000" w:themeColor="text1"/>
        </w:rPr>
        <w:t xml:space="preserve">to crave, rather than fear, difference. </w:t>
      </w:r>
    </w:p>
    <w:p w:rsidR="00AB418D" w:rsidRPr="00E10DA0" w:rsidRDefault="00AB418D" w:rsidP="00AB418D">
      <w:pPr>
        <w:pStyle w:val="BodyText"/>
      </w:pPr>
    </w:p>
    <w:p w:rsidR="00AB418D" w:rsidRDefault="00AB418D" w:rsidP="00AB418D"/>
    <w:p w:rsidR="00AB418D" w:rsidRPr="003B250B" w:rsidRDefault="00AB418D" w:rsidP="00AB418D">
      <w:pPr>
        <w:rPr>
          <w:rFonts w:ascii="Times New Roman" w:hAnsi="Times New Roman" w:cs="Times New Roman"/>
        </w:rPr>
      </w:pPr>
      <w:r w:rsidRPr="003B250B">
        <w:rPr>
          <w:rFonts w:ascii="Times New Roman" w:hAnsi="Times New Roman" w:cs="Times New Roman"/>
        </w:rPr>
        <w:t>COLLECTIVE CONSCIOUSNESS</w:t>
      </w:r>
    </w:p>
    <w:p w:rsidR="00AB418D" w:rsidRPr="003B250B" w:rsidRDefault="00AB418D" w:rsidP="00AB418D">
      <w:pPr>
        <w:rPr>
          <w:rFonts w:ascii="Times New Roman" w:hAnsi="Times New Roman" w:cs="Times New Roman"/>
          <w:color w:val="000000" w:themeColor="text1"/>
        </w:rPr>
      </w:pPr>
      <w:r w:rsidRPr="003B250B">
        <w:rPr>
          <w:rFonts w:ascii="Times New Roman" w:hAnsi="Times New Roman" w:cs="Times New Roman"/>
          <w:color w:val="000000" w:themeColor="text1"/>
        </w:rPr>
        <w:t xml:space="preserve">This craving is encoded in their own genetic ancestry, as </w:t>
      </w:r>
      <w:proofErr w:type="spellStart"/>
      <w:r w:rsidRPr="003B250B">
        <w:rPr>
          <w:rFonts w:ascii="Times New Roman" w:hAnsi="Times New Roman" w:cs="Times New Roman"/>
          <w:color w:val="000000" w:themeColor="text1"/>
        </w:rPr>
        <w:t>Nikanj</w:t>
      </w:r>
      <w:proofErr w:type="spellEnd"/>
      <w:r w:rsidRPr="003B250B">
        <w:rPr>
          <w:rFonts w:ascii="Times New Roman" w:hAnsi="Times New Roman" w:cs="Times New Roman"/>
          <w:color w:val="000000" w:themeColor="text1"/>
        </w:rPr>
        <w:t xml:space="preserve">, Lilith’s </w:t>
      </w:r>
      <w:proofErr w:type="spellStart"/>
      <w:r w:rsidRPr="003B250B">
        <w:rPr>
          <w:rFonts w:ascii="Times New Roman" w:hAnsi="Times New Roman" w:cs="Times New Roman"/>
          <w:color w:val="000000" w:themeColor="text1"/>
        </w:rPr>
        <w:t>ooloi</w:t>
      </w:r>
      <w:proofErr w:type="spellEnd"/>
      <w:r w:rsidRPr="003B250B">
        <w:rPr>
          <w:rFonts w:ascii="Times New Roman" w:hAnsi="Times New Roman" w:cs="Times New Roman"/>
          <w:color w:val="000000" w:themeColor="text1"/>
        </w:rPr>
        <w:t xml:space="preserve"> mate, explains: “‘Six divisions ago, on a white-sun water world, we lived in great shallow oceans</w:t>
      </w:r>
      <w:proofErr w:type="gramStart"/>
      <w:r w:rsidRPr="003B250B">
        <w:rPr>
          <w:rFonts w:ascii="Times New Roman" w:hAnsi="Times New Roman" w:cs="Times New Roman"/>
          <w:color w:val="000000" w:themeColor="text1"/>
        </w:rPr>
        <w:t>’[</w:t>
      </w:r>
      <w:proofErr w:type="gramEnd"/>
      <w:r w:rsidRPr="003B250B">
        <w:rPr>
          <w:rFonts w:ascii="Times New Roman" w:hAnsi="Times New Roman" w:cs="Times New Roman"/>
          <w:color w:val="000000" w:themeColor="text1"/>
        </w:rPr>
        <w:t xml:space="preserve">…] ‘We were many-bodied and spoke with body lights and color patterns among ourself and among ourselves” (123).  From their ancestors, a collective consciousness that is singular and plural at once, “ourself and ourselves,” the current </w:t>
      </w:r>
      <w:proofErr w:type="spellStart"/>
      <w:r w:rsidRPr="003B250B">
        <w:rPr>
          <w:rFonts w:ascii="Times New Roman" w:hAnsi="Times New Roman" w:cs="Times New Roman"/>
          <w:color w:val="000000" w:themeColor="text1"/>
        </w:rPr>
        <w:t>Oankali</w:t>
      </w:r>
      <w:proofErr w:type="spellEnd"/>
      <w:r w:rsidRPr="003B250B">
        <w:rPr>
          <w:rFonts w:ascii="Times New Roman" w:hAnsi="Times New Roman" w:cs="Times New Roman"/>
          <w:color w:val="000000" w:themeColor="text1"/>
        </w:rPr>
        <w:t xml:space="preserve"> inherited the drive for accumulating diverse genes. </w:t>
      </w:r>
    </w:p>
    <w:p w:rsidR="00AB418D" w:rsidRDefault="00AB418D" w:rsidP="00AB418D">
      <w:pPr>
        <w:rPr>
          <w:color w:val="000000" w:themeColor="text1"/>
        </w:rPr>
      </w:pPr>
    </w:p>
    <w:p w:rsidR="00AB418D" w:rsidRDefault="00AB418D" w:rsidP="00AB418D">
      <w:pPr>
        <w:rPr>
          <w:color w:val="000000" w:themeColor="text1"/>
        </w:rPr>
      </w:pPr>
    </w:p>
    <w:p w:rsidR="00AB418D" w:rsidRDefault="00AB418D" w:rsidP="00AB418D">
      <w:pPr>
        <w:rPr>
          <w:color w:val="000000" w:themeColor="text1"/>
        </w:rPr>
      </w:pPr>
    </w:p>
    <w:p w:rsidR="00AB418D" w:rsidRDefault="00AB418D" w:rsidP="00AB418D">
      <w:pPr>
        <w:rPr>
          <w:color w:val="000000" w:themeColor="text1"/>
        </w:rPr>
      </w:pPr>
      <w:r>
        <w:rPr>
          <w:color w:val="000000" w:themeColor="text1"/>
        </w:rPr>
        <w:t xml:space="preserve">RAPE AND CONSENT </w:t>
      </w:r>
    </w:p>
    <w:p w:rsidR="00AB418D" w:rsidRDefault="00AB418D" w:rsidP="00AB418D">
      <w:pPr>
        <w:rPr>
          <w:color w:val="000000" w:themeColor="text1"/>
        </w:rPr>
      </w:pPr>
    </w:p>
    <w:p w:rsidR="00AB418D" w:rsidRDefault="00AB418D" w:rsidP="00AB418D">
      <w:pPr>
        <w:pStyle w:val="BodyText"/>
        <w:spacing w:line="480" w:lineRule="auto"/>
        <w:ind w:firstLine="720"/>
        <w:rPr>
          <w:color w:val="000000" w:themeColor="text1"/>
        </w:rPr>
      </w:pPr>
      <w:r>
        <w:rPr>
          <w:color w:val="000000" w:themeColor="text1"/>
        </w:rPr>
        <w:t>As</w:t>
      </w:r>
      <w:r w:rsidRPr="006B4DF7">
        <w:rPr>
          <w:color w:val="000000" w:themeColor="text1"/>
        </w:rPr>
        <w:t xml:space="preserve"> Jayna Brown points out, </w:t>
      </w:r>
      <w:r>
        <w:rPr>
          <w:color w:val="000000" w:themeColor="text1"/>
        </w:rPr>
        <w:t>“</w:t>
      </w:r>
      <w:r w:rsidRPr="006B4DF7">
        <w:rPr>
          <w:color w:val="000000" w:themeColor="text1"/>
        </w:rPr>
        <w:t xml:space="preserve">the pleasurable experience of sex with the </w:t>
      </w:r>
      <w:proofErr w:type="spellStart"/>
      <w:r w:rsidRPr="006B4DF7">
        <w:rPr>
          <w:color w:val="000000" w:themeColor="text1"/>
        </w:rPr>
        <w:t>Ooloi</w:t>
      </w:r>
      <w:proofErr w:type="spellEnd"/>
      <w:r w:rsidRPr="006B4DF7">
        <w:rPr>
          <w:color w:val="000000" w:themeColor="text1"/>
        </w:rPr>
        <w:t xml:space="preserve"> is so highly compelling it is sometimes likened to rape in the text</w:t>
      </w:r>
      <w:r>
        <w:rPr>
          <w:color w:val="000000" w:themeColor="text1"/>
        </w:rPr>
        <w:t>”</w:t>
      </w:r>
      <w:r w:rsidRPr="006B4DF7">
        <w:rPr>
          <w:color w:val="000000" w:themeColor="text1"/>
        </w:rPr>
        <w:t xml:space="preserve"> (105).</w:t>
      </w:r>
      <w:r>
        <w:rPr>
          <w:color w:val="000000" w:themeColor="text1"/>
        </w:rPr>
        <w:t xml:space="preserve"> </w:t>
      </w:r>
      <w:r w:rsidRPr="006B4DF7">
        <w:rPr>
          <w:color w:val="000000" w:themeColor="text1"/>
        </w:rPr>
        <w:t xml:space="preserve">Joshua Yu Burnett </w:t>
      </w:r>
      <w:r>
        <w:rPr>
          <w:color w:val="000000" w:themeColor="text1"/>
        </w:rPr>
        <w:t>argues</w:t>
      </w:r>
      <w:r w:rsidRPr="006B4DF7">
        <w:rPr>
          <w:color w:val="000000" w:themeColor="text1"/>
        </w:rPr>
        <w:t xml:space="preserve"> that while </w:t>
      </w:r>
      <w:r>
        <w:rPr>
          <w:color w:val="000000" w:themeColor="text1"/>
        </w:rPr>
        <w:t>“</w:t>
      </w:r>
      <w:r w:rsidRPr="006B4DF7">
        <w:rPr>
          <w:color w:val="000000" w:themeColor="text1"/>
        </w:rPr>
        <w:t>the novel</w:t>
      </w:r>
      <w:r>
        <w:rPr>
          <w:color w:val="000000" w:themeColor="text1"/>
        </w:rPr>
        <w:t>’</w:t>
      </w:r>
      <w:r w:rsidRPr="006B4DF7">
        <w:rPr>
          <w:color w:val="000000" w:themeColor="text1"/>
        </w:rPr>
        <w:t>s treatment of the issue [of consent] is both provocative and troubling,</w:t>
      </w:r>
      <w:r>
        <w:rPr>
          <w:color w:val="000000" w:themeColor="text1"/>
        </w:rPr>
        <w:t>”</w:t>
      </w:r>
      <w:r w:rsidRPr="006B4DF7">
        <w:rPr>
          <w:color w:val="000000" w:themeColor="text1"/>
        </w:rPr>
        <w:t xml:space="preserve"> </w:t>
      </w:r>
      <w:r>
        <w:rPr>
          <w:color w:val="000000" w:themeColor="text1"/>
        </w:rPr>
        <w:t xml:space="preserve">the </w:t>
      </w:r>
      <w:proofErr w:type="spellStart"/>
      <w:r>
        <w:rPr>
          <w:color w:val="000000" w:themeColor="text1"/>
        </w:rPr>
        <w:t>Oankali</w:t>
      </w:r>
      <w:proofErr w:type="spellEnd"/>
      <w:r>
        <w:rPr>
          <w:color w:val="000000" w:themeColor="text1"/>
        </w:rPr>
        <w:t xml:space="preserve"> “</w:t>
      </w:r>
      <w:r w:rsidRPr="006B4DF7">
        <w:rPr>
          <w:color w:val="000000" w:themeColor="text1"/>
        </w:rPr>
        <w:t>seem quite genuine in their insistence that human claims of non-consent belie a deeper, physio-psychological consent</w:t>
      </w:r>
      <w:r>
        <w:rPr>
          <w:color w:val="000000" w:themeColor="text1"/>
        </w:rPr>
        <w:t>”</w:t>
      </w:r>
      <w:r w:rsidRPr="006B4DF7">
        <w:rPr>
          <w:color w:val="000000" w:themeColor="text1"/>
        </w:rPr>
        <w:t xml:space="preserve"> (Burnett </w:t>
      </w:r>
      <w:r>
        <w:rPr>
          <w:color w:val="000000" w:themeColor="text1"/>
        </w:rPr>
        <w:t xml:space="preserve">110, </w:t>
      </w:r>
      <w:r w:rsidRPr="006B4DF7">
        <w:rPr>
          <w:color w:val="000000" w:themeColor="text1"/>
        </w:rPr>
        <w:t>117). Adding more nuance to the issue, Justin Louis Mann</w:t>
      </w:r>
      <w:r>
        <w:rPr>
          <w:color w:val="000000" w:themeColor="text1"/>
        </w:rPr>
        <w:t>’</w:t>
      </w:r>
      <w:r w:rsidRPr="006B4DF7">
        <w:rPr>
          <w:color w:val="000000" w:themeColor="text1"/>
        </w:rPr>
        <w:t xml:space="preserve">s </w:t>
      </w:r>
      <w:r>
        <w:rPr>
          <w:color w:val="000000" w:themeColor="text1"/>
        </w:rPr>
        <w:t>“</w:t>
      </w:r>
      <w:r w:rsidRPr="006B4DF7">
        <w:rPr>
          <w:color w:val="000000" w:themeColor="text1"/>
        </w:rPr>
        <w:t>pessimistic futurist</w:t>
      </w:r>
      <w:r>
        <w:rPr>
          <w:color w:val="000000" w:themeColor="text1"/>
        </w:rPr>
        <w:t>”</w:t>
      </w:r>
      <w:r w:rsidRPr="006B4DF7">
        <w:rPr>
          <w:color w:val="000000" w:themeColor="text1"/>
        </w:rPr>
        <w:t xml:space="preserve"> reading of the novel </w:t>
      </w:r>
      <w:proofErr w:type="gramStart"/>
      <w:r w:rsidRPr="006B4DF7">
        <w:rPr>
          <w:color w:val="000000" w:themeColor="text1"/>
        </w:rPr>
        <w:t>put</w:t>
      </w:r>
      <w:r>
        <w:rPr>
          <w:color w:val="000000" w:themeColor="text1"/>
        </w:rPr>
        <w:t>s</w:t>
      </w:r>
      <w:proofErr w:type="gramEnd"/>
      <w:r w:rsidRPr="006B4DF7">
        <w:rPr>
          <w:color w:val="000000" w:themeColor="text1"/>
        </w:rPr>
        <w:t xml:space="preserve"> </w:t>
      </w:r>
      <w:r>
        <w:rPr>
          <w:color w:val="000000" w:themeColor="text1"/>
        </w:rPr>
        <w:t>subjugation and pleasure</w:t>
      </w:r>
      <w:r w:rsidRPr="006B4DF7">
        <w:rPr>
          <w:color w:val="000000" w:themeColor="text1"/>
        </w:rPr>
        <w:t xml:space="preserve"> on the same plane.</w:t>
      </w:r>
      <w:r w:rsidRPr="006B4DF7">
        <w:rPr>
          <w:rStyle w:val="FootnoteReference"/>
          <w:color w:val="000000" w:themeColor="text1"/>
        </w:rPr>
        <w:footnoteReference w:id="1"/>
      </w:r>
      <w:r w:rsidRPr="006B4DF7">
        <w:rPr>
          <w:color w:val="000000" w:themeColor="text1"/>
        </w:rPr>
        <w:t xml:space="preserve"> </w:t>
      </w:r>
      <w:r>
        <w:rPr>
          <w:color w:val="000000" w:themeColor="text1"/>
        </w:rPr>
        <w:t>For example, the</w:t>
      </w:r>
      <w:r w:rsidRPr="006B4DF7">
        <w:rPr>
          <w:color w:val="000000" w:themeColor="text1"/>
        </w:rPr>
        <w:t xml:space="preserve"> image of </w:t>
      </w:r>
      <w:proofErr w:type="spellStart"/>
      <w:r w:rsidRPr="006B4DF7">
        <w:rPr>
          <w:color w:val="000000" w:themeColor="text1"/>
        </w:rPr>
        <w:t>Nikanj</w:t>
      </w:r>
      <w:r>
        <w:rPr>
          <w:color w:val="000000" w:themeColor="text1"/>
        </w:rPr>
        <w:t>’</w:t>
      </w:r>
      <w:r w:rsidRPr="006B4DF7">
        <w:rPr>
          <w:color w:val="000000" w:themeColor="text1"/>
        </w:rPr>
        <w:t>s</w:t>
      </w:r>
      <w:proofErr w:type="spellEnd"/>
      <w:r w:rsidRPr="006B4DF7">
        <w:rPr>
          <w:color w:val="000000" w:themeColor="text1"/>
        </w:rPr>
        <w:t xml:space="preserve"> </w:t>
      </w:r>
      <w:r>
        <w:rPr>
          <w:color w:val="000000" w:themeColor="text1"/>
        </w:rPr>
        <w:t>“</w:t>
      </w:r>
      <w:r w:rsidRPr="006B4DF7">
        <w:rPr>
          <w:color w:val="000000" w:themeColor="text1"/>
        </w:rPr>
        <w:t>sensory arm</w:t>
      </w:r>
      <w:r>
        <w:rPr>
          <w:color w:val="000000" w:themeColor="text1"/>
        </w:rPr>
        <w:t>”</w:t>
      </w:r>
      <w:r w:rsidRPr="006B4DF7">
        <w:rPr>
          <w:color w:val="000000" w:themeColor="text1"/>
        </w:rPr>
        <w:t xml:space="preserve"> wrapped around Lilith</w:t>
      </w:r>
      <w:r>
        <w:rPr>
          <w:color w:val="000000" w:themeColor="text1"/>
        </w:rPr>
        <w:t>’</w:t>
      </w:r>
      <w:r w:rsidRPr="006B4DF7">
        <w:rPr>
          <w:color w:val="000000" w:themeColor="text1"/>
        </w:rPr>
        <w:t>s neck</w:t>
      </w:r>
      <w:r>
        <w:rPr>
          <w:color w:val="000000" w:themeColor="text1"/>
        </w:rPr>
        <w:t xml:space="preserve"> is described</w:t>
      </w:r>
      <w:r w:rsidRPr="006B4DF7">
        <w:rPr>
          <w:color w:val="000000" w:themeColor="text1"/>
        </w:rPr>
        <w:t xml:space="preserve"> </w:t>
      </w:r>
      <w:r>
        <w:rPr>
          <w:color w:val="000000" w:themeColor="text1"/>
        </w:rPr>
        <w:t>“</w:t>
      </w:r>
      <w:r w:rsidRPr="006B4DF7">
        <w:rPr>
          <w:color w:val="000000" w:themeColor="text1"/>
        </w:rPr>
        <w:t>an oddly comfortable noose</w:t>
      </w:r>
      <w:r>
        <w:rPr>
          <w:color w:val="000000" w:themeColor="text1"/>
        </w:rPr>
        <w:t xml:space="preserve">” </w:t>
      </w:r>
      <w:r w:rsidRPr="006B4DF7">
        <w:rPr>
          <w:color w:val="000000" w:themeColor="text1"/>
        </w:rPr>
        <w:t xml:space="preserve">(Mann 62). </w:t>
      </w:r>
      <w:r>
        <w:rPr>
          <w:color w:val="000000" w:themeColor="text1"/>
        </w:rPr>
        <w:t xml:space="preserve">The reference to the noose, Mann explains, </w:t>
      </w:r>
      <w:r w:rsidRPr="006B4DF7">
        <w:rPr>
          <w:color w:val="000000" w:themeColor="text1"/>
        </w:rPr>
        <w:t>draw</w:t>
      </w:r>
      <w:r>
        <w:rPr>
          <w:color w:val="000000" w:themeColor="text1"/>
        </w:rPr>
        <w:t>s</w:t>
      </w:r>
      <w:r w:rsidRPr="006B4DF7">
        <w:rPr>
          <w:color w:val="000000" w:themeColor="text1"/>
        </w:rPr>
        <w:t xml:space="preserve"> from history of subjugation and death</w:t>
      </w:r>
      <w:r>
        <w:rPr>
          <w:color w:val="000000" w:themeColor="text1"/>
        </w:rPr>
        <w:t xml:space="preserve"> while also </w:t>
      </w:r>
      <w:r w:rsidRPr="006B4DF7">
        <w:rPr>
          <w:color w:val="000000" w:themeColor="text1"/>
        </w:rPr>
        <w:t>evok</w:t>
      </w:r>
      <w:r>
        <w:rPr>
          <w:color w:val="000000" w:themeColor="text1"/>
        </w:rPr>
        <w:t>ing</w:t>
      </w:r>
      <w:r w:rsidRPr="006B4DF7">
        <w:rPr>
          <w:color w:val="000000" w:themeColor="text1"/>
        </w:rPr>
        <w:t xml:space="preserve"> comfort with the highly pleasurable sexual experiences that Lilith enjoys with </w:t>
      </w:r>
      <w:proofErr w:type="spellStart"/>
      <w:r w:rsidRPr="006B4DF7">
        <w:rPr>
          <w:color w:val="000000" w:themeColor="text1"/>
        </w:rPr>
        <w:t>Nikanj</w:t>
      </w:r>
      <w:proofErr w:type="spellEnd"/>
      <w:r w:rsidRPr="006B4DF7">
        <w:rPr>
          <w:color w:val="000000" w:themeColor="text1"/>
        </w:rPr>
        <w:t xml:space="preserve">. According to Mann, </w:t>
      </w:r>
      <w:r>
        <w:rPr>
          <w:color w:val="000000" w:themeColor="text1"/>
        </w:rPr>
        <w:t xml:space="preserve">this experience of comfort augments </w:t>
      </w:r>
      <w:r w:rsidRPr="006B4DF7">
        <w:rPr>
          <w:color w:val="000000" w:themeColor="text1"/>
        </w:rPr>
        <w:t>th</w:t>
      </w:r>
      <w:r>
        <w:rPr>
          <w:color w:val="000000" w:themeColor="text1"/>
        </w:rPr>
        <w:t xml:space="preserve">e coercive aspects of </w:t>
      </w:r>
      <w:proofErr w:type="spellStart"/>
      <w:r>
        <w:rPr>
          <w:color w:val="000000" w:themeColor="text1"/>
        </w:rPr>
        <w:t>Oankali</w:t>
      </w:r>
      <w:proofErr w:type="spellEnd"/>
      <w:r>
        <w:rPr>
          <w:color w:val="000000" w:themeColor="text1"/>
        </w:rPr>
        <w:t xml:space="preserve"> control with </w:t>
      </w:r>
      <w:r w:rsidRPr="006B4DF7">
        <w:rPr>
          <w:color w:val="000000" w:themeColor="text1"/>
        </w:rPr>
        <w:t>physical pleasure (Mann 62).</w:t>
      </w:r>
    </w:p>
    <w:p w:rsidR="00AB418D" w:rsidRDefault="00AB418D"/>
    <w:p w:rsidR="000E755D" w:rsidRDefault="000E755D" w:rsidP="000E755D">
      <w:pPr>
        <w:pStyle w:val="BodyText"/>
      </w:pPr>
    </w:p>
    <w:p w:rsidR="000E755D" w:rsidRDefault="000E755D" w:rsidP="000E755D">
      <w:proofErr w:type="gramStart"/>
      <w:r>
        <w:t>CONCLUSION?:</w:t>
      </w:r>
      <w:proofErr w:type="gramEnd"/>
      <w:r>
        <w:t xml:space="preserve"> SEX ACT IS QUEERRRRR</w:t>
      </w:r>
    </w:p>
    <w:p w:rsidR="000E755D" w:rsidRDefault="000E755D" w:rsidP="000E755D"/>
    <w:p w:rsidR="000E755D" w:rsidRPr="008841D6" w:rsidRDefault="000E755D" w:rsidP="000E755D">
      <w:pPr>
        <w:pStyle w:val="BodyText"/>
        <w:spacing w:line="480" w:lineRule="auto"/>
        <w:ind w:firstLine="480"/>
        <w:rPr>
          <w:color w:val="000000" w:themeColor="text1"/>
        </w:rPr>
      </w:pPr>
      <w:r>
        <w:rPr>
          <w:color w:val="000000" w:themeColor="text1"/>
        </w:rPr>
        <w:t>Critics generally</w:t>
      </w:r>
      <w:r w:rsidRPr="006B4DF7">
        <w:rPr>
          <w:color w:val="000000" w:themeColor="text1"/>
        </w:rPr>
        <w:t xml:space="preserve"> agree on one point, however: that the text reflects a firmly heterosexual </w:t>
      </w:r>
      <w:r w:rsidRPr="006B4DF7">
        <w:rPr>
          <w:color w:val="000000" w:themeColor="text1"/>
        </w:rPr>
        <w:lastRenderedPageBreak/>
        <w:t>paradigm</w:t>
      </w:r>
      <w:r>
        <w:rPr>
          <w:color w:val="000000" w:themeColor="text1"/>
        </w:rPr>
        <w:t xml:space="preserve">, which </w:t>
      </w:r>
      <w:r w:rsidRPr="006B4DF7">
        <w:rPr>
          <w:color w:val="000000" w:themeColor="text1"/>
        </w:rPr>
        <w:t xml:space="preserve">maintains a male/female dynamic, despite the addition of </w:t>
      </w:r>
      <w:r>
        <w:rPr>
          <w:color w:val="000000" w:themeColor="text1"/>
        </w:rPr>
        <w:t>the neutral-gendered intermediary</w:t>
      </w:r>
      <w:r w:rsidRPr="006B4DF7">
        <w:rPr>
          <w:color w:val="000000" w:themeColor="text1"/>
        </w:rPr>
        <w:t xml:space="preserve">. </w:t>
      </w:r>
      <w:r>
        <w:rPr>
          <w:color w:val="000000" w:themeColor="text1"/>
        </w:rPr>
        <w:t>Ha</w:t>
      </w:r>
      <w:r w:rsidRPr="006B4DF7">
        <w:rPr>
          <w:color w:val="000000" w:themeColor="text1"/>
        </w:rPr>
        <w:t xml:space="preserve">raway, for example, asserts that, </w:t>
      </w:r>
      <w:r>
        <w:rPr>
          <w:color w:val="000000" w:themeColor="text1"/>
        </w:rPr>
        <w:t>“</w:t>
      </w:r>
      <w:r w:rsidRPr="006B4DF7">
        <w:rPr>
          <w:color w:val="000000" w:themeColor="text1"/>
        </w:rPr>
        <w:t xml:space="preserve">Heterosexuality remains unquestioned, if more complexly mediated. The different social subjects, the different genders that could emerge from another embodiment of resistance to compulsory heterosexual reproductive politics, do not inhabit this </w:t>
      </w:r>
      <w:r w:rsidRPr="006B4DF7">
        <w:rPr>
          <w:i/>
          <w:color w:val="000000" w:themeColor="text1"/>
        </w:rPr>
        <w:t>Dawn</w:t>
      </w:r>
      <w:r>
        <w:rPr>
          <w:color w:val="000000" w:themeColor="text1"/>
        </w:rPr>
        <w:t>”</w:t>
      </w:r>
      <w:r w:rsidRPr="006B4DF7">
        <w:rPr>
          <w:color w:val="000000" w:themeColor="text1"/>
        </w:rPr>
        <w:t xml:space="preserve"> (380). </w:t>
      </w:r>
      <w:r w:rsidRPr="00F27A3A">
        <w:rPr>
          <w:color w:val="000000" w:themeColor="text1"/>
        </w:rPr>
        <w:t>One exception to this view</w:t>
      </w:r>
      <w:r>
        <w:rPr>
          <w:color w:val="000000" w:themeColor="text1"/>
        </w:rPr>
        <w:t>,</w:t>
      </w:r>
      <w:r w:rsidRPr="00F27A3A">
        <w:rPr>
          <w:color w:val="000000" w:themeColor="text1"/>
        </w:rPr>
        <w:t xml:space="preserve"> </w:t>
      </w:r>
      <w:r w:rsidRPr="00F27A3A">
        <w:t>Patricia Meltzer, argues that the</w:t>
      </w:r>
      <w:r>
        <w:t xml:space="preserve"> </w:t>
      </w:r>
      <w:r>
        <w:rPr>
          <w:i/>
          <w:iCs/>
        </w:rPr>
        <w:t>Xenogenesis</w:t>
      </w:r>
      <w:r w:rsidRPr="00F27A3A">
        <w:t xml:space="preserve"> trilogy</w:t>
      </w:r>
      <w:r>
        <w:t xml:space="preserve"> </w:t>
      </w:r>
      <w:r w:rsidRPr="00F27A3A">
        <w:t xml:space="preserve">presents a view of non-normative sexuality which can literally transform bodies at will. In </w:t>
      </w:r>
      <w:r>
        <w:t xml:space="preserve">one of the sequels to </w:t>
      </w:r>
      <w:r>
        <w:rPr>
          <w:i/>
          <w:iCs/>
        </w:rPr>
        <w:t>Dawn</w:t>
      </w:r>
      <w:r>
        <w:t xml:space="preserve">, titled </w:t>
      </w:r>
      <w:r>
        <w:rPr>
          <w:i/>
          <w:iCs/>
        </w:rPr>
        <w:t>Imago</w:t>
      </w:r>
      <w:r>
        <w:t>,</w:t>
      </w:r>
      <w:r w:rsidRPr="00F27A3A">
        <w:t xml:space="preserve"> the human-</w:t>
      </w:r>
      <w:proofErr w:type="spellStart"/>
      <w:r w:rsidRPr="00F27A3A">
        <w:t>Oankali</w:t>
      </w:r>
      <w:proofErr w:type="spellEnd"/>
      <w:r w:rsidRPr="00F27A3A">
        <w:t xml:space="preserve"> </w:t>
      </w:r>
      <w:r>
        <w:t>descendants</w:t>
      </w:r>
      <w:r w:rsidRPr="00F27A3A">
        <w:t xml:space="preserve"> </w:t>
      </w:r>
      <w:r>
        <w:t xml:space="preserve">have </w:t>
      </w:r>
      <w:r w:rsidRPr="00F27A3A">
        <w:t xml:space="preserve">evolved the ability to manipulate </w:t>
      </w:r>
      <w:r>
        <w:t xml:space="preserve">the </w:t>
      </w:r>
      <w:r w:rsidRPr="00F27A3A">
        <w:t>organic matter within their own bodies</w:t>
      </w:r>
      <w:r>
        <w:t xml:space="preserve">, and they </w:t>
      </w:r>
      <w:r w:rsidRPr="00F27A3A">
        <w:t>adapt</w:t>
      </w:r>
      <w:r>
        <w:t xml:space="preserve"> their bodies</w:t>
      </w:r>
      <w:r w:rsidRPr="00F27A3A">
        <w:t xml:space="preserve"> to their prospective partner’s desires. Drawing from Judith Butler, Meltzer </w:t>
      </w:r>
      <w:r>
        <w:t>argues that these shape-shifting</w:t>
      </w:r>
      <w:r w:rsidRPr="00F27A3A">
        <w:t xml:space="preserve"> bod</w:t>
      </w:r>
      <w:r>
        <w:t>ies are</w:t>
      </w:r>
      <w:r w:rsidRPr="00F27A3A">
        <w:t xml:space="preserve"> queer because </w:t>
      </w:r>
      <w:r>
        <w:t>they</w:t>
      </w:r>
      <w:r w:rsidRPr="00F27A3A">
        <w:t xml:space="preserve"> </w:t>
      </w:r>
      <w:r>
        <w:t>are</w:t>
      </w:r>
      <w:r w:rsidRPr="00F27A3A">
        <w:t xml:space="preserve"> constructed by desire: </w:t>
      </w:r>
    </w:p>
    <w:p w:rsidR="000E755D" w:rsidRDefault="000E755D" w:rsidP="000E755D">
      <w:pPr>
        <w:pStyle w:val="FootnoteText"/>
        <w:spacing w:line="480" w:lineRule="auto"/>
        <w:ind w:firstLine="480"/>
        <w:rPr>
          <w:rFonts w:ascii="Times New Roman" w:hAnsi="Times New Roman" w:cs="Times New Roman"/>
        </w:rPr>
      </w:pPr>
    </w:p>
    <w:p w:rsidR="000E755D" w:rsidRDefault="000E755D" w:rsidP="000E755D">
      <w:pPr>
        <w:pStyle w:val="FootnoteText"/>
        <w:spacing w:line="480" w:lineRule="auto"/>
        <w:ind w:left="1440"/>
        <w:rPr>
          <w:rFonts w:ascii="Times New Roman" w:hAnsi="Times New Roman" w:cs="Times New Roman"/>
        </w:rPr>
      </w:pPr>
      <w:r w:rsidRPr="00F27A3A">
        <w:rPr>
          <w:rFonts w:ascii="Times New Roman" w:hAnsi="Times New Roman" w:cs="Times New Roman"/>
        </w:rPr>
        <w:t xml:space="preserve">Butler’s concepts here are positioned neither in a biological essentialism that insists on gender identity (woman) as </w:t>
      </w:r>
      <w:r>
        <w:rPr>
          <w:rFonts w:ascii="Times New Roman" w:hAnsi="Times New Roman" w:cs="Times New Roman"/>
        </w:rPr>
        <w:t>deprived</w:t>
      </w:r>
      <w:r w:rsidRPr="00F27A3A">
        <w:rPr>
          <w:rFonts w:ascii="Times New Roman" w:hAnsi="Times New Roman" w:cs="Times New Roman"/>
        </w:rPr>
        <w:t xml:space="preserve"> of a body’s sex (female), nor in a social and/or psychological constructivism that understands the body’s materiality as dominated by (social) discourse. Instead, desire and sexuality are based in the body’s need for others… the body follows desire. (Meltzer 241)</w:t>
      </w:r>
    </w:p>
    <w:p w:rsidR="000E755D" w:rsidRPr="00F27A3A" w:rsidRDefault="000E755D" w:rsidP="000E755D">
      <w:pPr>
        <w:pStyle w:val="FootnoteText"/>
        <w:spacing w:line="480" w:lineRule="auto"/>
        <w:ind w:left="1440"/>
        <w:rPr>
          <w:rFonts w:ascii="Times New Roman" w:hAnsi="Times New Roman" w:cs="Times New Roman"/>
        </w:rPr>
      </w:pPr>
    </w:p>
    <w:p w:rsidR="000E755D" w:rsidRPr="00BE3B6C" w:rsidRDefault="000E755D" w:rsidP="000E755D">
      <w:pPr>
        <w:pStyle w:val="FootnoteText"/>
        <w:spacing w:after="0" w:line="480" w:lineRule="auto"/>
        <w:rPr>
          <w:rFonts w:ascii="Times New Roman" w:hAnsi="Times New Roman" w:cs="Times New Roman"/>
        </w:rPr>
      </w:pPr>
      <w:r w:rsidRPr="00F27A3A">
        <w:rPr>
          <w:rFonts w:ascii="Times New Roman" w:hAnsi="Times New Roman" w:cs="Times New Roman"/>
        </w:rPr>
        <w:t>Building from Butler’s concept of performativity, Meltzer defines queerness as resisting the normative correlation of sex/gender/desire</w:t>
      </w:r>
      <w:r>
        <w:rPr>
          <w:rFonts w:ascii="Times New Roman" w:hAnsi="Times New Roman" w:cs="Times New Roman"/>
        </w:rPr>
        <w:t>, a resistance in which these categories are</w:t>
      </w:r>
      <w:r w:rsidRPr="00F27A3A">
        <w:rPr>
          <w:rFonts w:ascii="Times New Roman" w:hAnsi="Times New Roman" w:cs="Times New Roman"/>
        </w:rPr>
        <w:t xml:space="preserve"> destabilized, upended, </w:t>
      </w:r>
      <w:r>
        <w:rPr>
          <w:rFonts w:ascii="Times New Roman" w:hAnsi="Times New Roman" w:cs="Times New Roman"/>
        </w:rPr>
        <w:t xml:space="preserve">and </w:t>
      </w:r>
      <w:r w:rsidRPr="00F27A3A">
        <w:rPr>
          <w:rFonts w:ascii="Times New Roman" w:hAnsi="Times New Roman" w:cs="Times New Roman"/>
        </w:rPr>
        <w:t>reimagined. The failure of easy alignment among the</w:t>
      </w:r>
      <w:r>
        <w:rPr>
          <w:rFonts w:ascii="Times New Roman" w:hAnsi="Times New Roman" w:cs="Times New Roman"/>
        </w:rPr>
        <w:t xml:space="preserve">m </w:t>
      </w:r>
      <w:r w:rsidRPr="00F27A3A">
        <w:rPr>
          <w:rFonts w:ascii="Times New Roman" w:hAnsi="Times New Roman" w:cs="Times New Roman"/>
        </w:rPr>
        <w:t>opens up the possibility of imagining how desire can construct new configurations of sexuality, that are “rooted in the body’s amorphous craving for physical pleasure” (</w:t>
      </w:r>
      <w:proofErr w:type="spellStart"/>
      <w:r w:rsidRPr="00F27A3A">
        <w:rPr>
          <w:rFonts w:ascii="Times New Roman" w:hAnsi="Times New Roman" w:cs="Times New Roman"/>
        </w:rPr>
        <w:t>Melzter</w:t>
      </w:r>
      <w:proofErr w:type="spellEnd"/>
      <w:r w:rsidRPr="00F27A3A">
        <w:rPr>
          <w:rFonts w:ascii="Times New Roman" w:hAnsi="Times New Roman" w:cs="Times New Roman"/>
        </w:rPr>
        <w:t xml:space="preserve"> 236). </w:t>
      </w:r>
    </w:p>
    <w:p w:rsidR="000E755D" w:rsidRDefault="000E755D" w:rsidP="000E755D">
      <w:pPr>
        <w:pStyle w:val="BodyText"/>
        <w:spacing w:line="480" w:lineRule="auto"/>
        <w:ind w:firstLine="720"/>
        <w:rPr>
          <w:color w:val="000000" w:themeColor="text1"/>
        </w:rPr>
      </w:pPr>
      <w:r w:rsidRPr="00F27A3A">
        <w:lastRenderedPageBreak/>
        <w:t xml:space="preserve">I agree with Meltzer that </w:t>
      </w:r>
      <w:r w:rsidRPr="006B4DF7">
        <w:rPr>
          <w:color w:val="000000" w:themeColor="text1"/>
        </w:rPr>
        <w:t>the heterosexual paradigm is indeed disrupted</w:t>
      </w:r>
      <w:r>
        <w:rPr>
          <w:color w:val="000000" w:themeColor="text1"/>
        </w:rPr>
        <w:t xml:space="preserve"> in the novel</w:t>
      </w:r>
      <w:r w:rsidRPr="006B4DF7">
        <w:rPr>
          <w:color w:val="000000" w:themeColor="text1"/>
        </w:rPr>
        <w:t xml:space="preserve">, </w:t>
      </w:r>
      <w:r w:rsidRPr="00F27A3A">
        <w:t>but not because of a desire that literally transform bodies</w:t>
      </w:r>
      <w:r>
        <w:t xml:space="preserve">. Rather, </w:t>
      </w:r>
      <w:r w:rsidRPr="006B4DF7">
        <w:rPr>
          <w:color w:val="000000" w:themeColor="text1"/>
        </w:rPr>
        <w:t xml:space="preserve">it is disrupted </w:t>
      </w:r>
      <w:r>
        <w:rPr>
          <w:color w:val="000000" w:themeColor="text1"/>
        </w:rPr>
        <w:t>in</w:t>
      </w:r>
      <w:r w:rsidRPr="006B4DF7">
        <w:rPr>
          <w:color w:val="000000" w:themeColor="text1"/>
        </w:rPr>
        <w:t xml:space="preserve"> </w:t>
      </w:r>
      <w:r>
        <w:rPr>
          <w:color w:val="000000" w:themeColor="text1"/>
        </w:rPr>
        <w:t>the collision between thinking and feeling that</w:t>
      </w:r>
      <w:r w:rsidRPr="006B4DF7">
        <w:rPr>
          <w:color w:val="000000" w:themeColor="text1"/>
        </w:rPr>
        <w:t xml:space="preserve"> </w:t>
      </w:r>
      <w:r>
        <w:rPr>
          <w:color w:val="000000" w:themeColor="text1"/>
        </w:rPr>
        <w:t xml:space="preserve">occurs </w:t>
      </w:r>
      <w:r w:rsidRPr="006B4DF7">
        <w:rPr>
          <w:color w:val="000000" w:themeColor="text1"/>
        </w:rPr>
        <w:t>in the tripartite sexual union.</w:t>
      </w:r>
      <w:r>
        <w:rPr>
          <w:color w:val="000000" w:themeColor="text1"/>
        </w:rPr>
        <w:t xml:space="preserve"> </w:t>
      </w:r>
      <w:r>
        <w:t xml:space="preserve">The sex act </w:t>
      </w:r>
      <w:r w:rsidRPr="00F27A3A">
        <w:t>simultaneously bypass</w:t>
      </w:r>
      <w:r>
        <w:t>es</w:t>
      </w:r>
      <w:r w:rsidRPr="00F27A3A">
        <w:t xml:space="preserve"> </w:t>
      </w:r>
      <w:r>
        <w:t xml:space="preserve">while reinforcing the sensations of </w:t>
      </w:r>
      <w:r w:rsidRPr="00F27A3A">
        <w:t xml:space="preserve">the </w:t>
      </w:r>
      <w:r>
        <w:t>outer body, the flesh</w:t>
      </w:r>
      <w:r w:rsidRPr="00F27A3A">
        <w:t xml:space="preserve">. </w:t>
      </w:r>
      <w:r>
        <w:t xml:space="preserve">Here, </w:t>
      </w:r>
      <w:r w:rsidRPr="00F27A3A">
        <w:rPr>
          <w:color w:val="000000" w:themeColor="text1"/>
        </w:rPr>
        <w:t>I draw from Jayna Brown’s emphasis on the flesh and how it opens possibilities for reconceiving subjectivity. According to Brown, while the senses “individuate us, demarcate our boundaries,” they also “mark the ways our bodies are open. The body, the self, is porous, receptive, impressionable” (Brown 14). In Butler’s novel, this openness to feeling is achieved by re-routing around the flesh and its senses, the traditional channel</w:t>
      </w:r>
      <w:r>
        <w:rPr>
          <w:color w:val="000000" w:themeColor="text1"/>
        </w:rPr>
        <w:t>s</w:t>
      </w:r>
      <w:r w:rsidRPr="00F27A3A">
        <w:rPr>
          <w:color w:val="000000" w:themeColor="text1"/>
        </w:rPr>
        <w:t xml:space="preserve"> for feeling, in a way that </w:t>
      </w:r>
      <w:r>
        <w:rPr>
          <w:color w:val="000000" w:themeColor="text1"/>
        </w:rPr>
        <w:t>reinforces</w:t>
      </w:r>
      <w:r w:rsidRPr="00F27A3A">
        <w:rPr>
          <w:color w:val="000000" w:themeColor="text1"/>
        </w:rPr>
        <w:t xml:space="preserve"> that which it bypasses. The effect is to transform cognitive and conceptual phenomena into physical, sensual experiences</w:t>
      </w:r>
      <w:r>
        <w:rPr>
          <w:color w:val="000000" w:themeColor="text1"/>
        </w:rPr>
        <w:t>, and vice versa</w:t>
      </w:r>
      <w:r w:rsidRPr="00F27A3A">
        <w:rPr>
          <w:color w:val="000000" w:themeColor="text1"/>
        </w:rPr>
        <w:t xml:space="preserve">. </w:t>
      </w:r>
    </w:p>
    <w:p w:rsidR="000E755D" w:rsidRDefault="000E755D"/>
    <w:sectPr w:rsidR="000E755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B4402" w:rsidRDefault="00CB4402" w:rsidP="00AB418D">
      <w:pPr>
        <w:spacing w:after="0" w:line="240" w:lineRule="auto"/>
      </w:pPr>
      <w:r>
        <w:separator/>
      </w:r>
    </w:p>
  </w:endnote>
  <w:endnote w:type="continuationSeparator" w:id="0">
    <w:p w:rsidR="00CB4402" w:rsidRDefault="00CB4402" w:rsidP="00AB41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B4402" w:rsidRDefault="00CB4402" w:rsidP="00AB418D">
      <w:pPr>
        <w:spacing w:after="0" w:line="240" w:lineRule="auto"/>
      </w:pPr>
      <w:r>
        <w:separator/>
      </w:r>
    </w:p>
  </w:footnote>
  <w:footnote w:type="continuationSeparator" w:id="0">
    <w:p w:rsidR="00CB4402" w:rsidRDefault="00CB4402" w:rsidP="00AB418D">
      <w:pPr>
        <w:spacing w:after="0" w:line="240" w:lineRule="auto"/>
      </w:pPr>
      <w:r>
        <w:continuationSeparator/>
      </w:r>
    </w:p>
  </w:footnote>
  <w:footnote w:id="1">
    <w:p w:rsidR="00AB418D" w:rsidRPr="001041CE" w:rsidRDefault="00AB418D" w:rsidP="00AB418D">
      <w:pPr>
        <w:pStyle w:val="FootnoteText"/>
        <w:rPr>
          <w:rFonts w:ascii="Times New Roman" w:hAnsi="Times New Roman" w:cs="Times New Roman"/>
          <w:sz w:val="20"/>
          <w:szCs w:val="20"/>
        </w:rPr>
      </w:pPr>
      <w:r w:rsidRPr="001041CE">
        <w:rPr>
          <w:rStyle w:val="FootnoteReference"/>
          <w:rFonts w:ascii="Times New Roman" w:hAnsi="Times New Roman" w:cs="Times New Roman"/>
          <w:sz w:val="20"/>
          <w:szCs w:val="20"/>
        </w:rPr>
        <w:footnoteRef/>
      </w:r>
      <w:r w:rsidRPr="001041CE">
        <w:rPr>
          <w:rFonts w:ascii="Times New Roman" w:hAnsi="Times New Roman" w:cs="Times New Roman"/>
          <w:sz w:val="20"/>
          <w:szCs w:val="20"/>
        </w:rPr>
        <w:t xml:space="preserve"> </w:t>
      </w:r>
      <w:r>
        <w:rPr>
          <w:rFonts w:ascii="Times New Roman" w:hAnsi="Times New Roman" w:cs="Times New Roman"/>
          <w:sz w:val="20"/>
          <w:szCs w:val="20"/>
        </w:rPr>
        <w:t xml:space="preserve">The concept of </w:t>
      </w:r>
      <w:r w:rsidRPr="001041CE">
        <w:rPr>
          <w:rFonts w:ascii="Times New Roman" w:hAnsi="Times New Roman" w:cs="Times New Roman"/>
          <w:sz w:val="20"/>
          <w:szCs w:val="20"/>
        </w:rPr>
        <w:t xml:space="preserve">“pessimistic futurism,” </w:t>
      </w:r>
      <w:r>
        <w:rPr>
          <w:rFonts w:ascii="Times New Roman" w:hAnsi="Times New Roman" w:cs="Times New Roman"/>
          <w:sz w:val="20"/>
          <w:szCs w:val="20"/>
        </w:rPr>
        <w:t xml:space="preserve">according to Mann, </w:t>
      </w:r>
      <w:r w:rsidRPr="001041CE">
        <w:rPr>
          <w:rFonts w:ascii="Times New Roman" w:hAnsi="Times New Roman" w:cs="Times New Roman"/>
          <w:sz w:val="20"/>
          <w:szCs w:val="20"/>
        </w:rPr>
        <w:t>combin</w:t>
      </w:r>
      <w:r>
        <w:rPr>
          <w:rFonts w:ascii="Times New Roman" w:hAnsi="Times New Roman" w:cs="Times New Roman"/>
          <w:sz w:val="20"/>
          <w:szCs w:val="20"/>
        </w:rPr>
        <w:t>es</w:t>
      </w:r>
      <w:r w:rsidRPr="001041CE">
        <w:rPr>
          <w:rFonts w:ascii="Times New Roman" w:hAnsi="Times New Roman" w:cs="Times New Roman"/>
          <w:sz w:val="20"/>
          <w:szCs w:val="20"/>
        </w:rPr>
        <w:t xml:space="preserve"> the cynicism of afro-pessimism, which associates blackness with ontological death and the impossibility of black subjectivity, and the optimism of afro-futurism, which speculates and potentializes liberatory black subjectivity and futurity.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18D"/>
    <w:rsid w:val="000E755D"/>
    <w:rsid w:val="00151753"/>
    <w:rsid w:val="00220194"/>
    <w:rsid w:val="004E26A9"/>
    <w:rsid w:val="005100AD"/>
    <w:rsid w:val="00725BC6"/>
    <w:rsid w:val="007C62AB"/>
    <w:rsid w:val="00AB418D"/>
    <w:rsid w:val="00C469B2"/>
    <w:rsid w:val="00C478FD"/>
    <w:rsid w:val="00CB4402"/>
    <w:rsid w:val="00D477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FEA95A0"/>
  <w15:chartTrackingRefBased/>
  <w15:docId w15:val="{8D936887-34FD-5040-93C3-FE0D781CA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41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41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41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41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41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41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41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41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41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41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41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41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41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41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41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41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41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418D"/>
    <w:rPr>
      <w:rFonts w:eastAsiaTheme="majorEastAsia" w:cstheme="majorBidi"/>
      <w:color w:val="272727" w:themeColor="text1" w:themeTint="D8"/>
    </w:rPr>
  </w:style>
  <w:style w:type="paragraph" w:styleId="Title">
    <w:name w:val="Title"/>
    <w:basedOn w:val="Normal"/>
    <w:next w:val="Normal"/>
    <w:link w:val="TitleChar"/>
    <w:uiPriority w:val="10"/>
    <w:qFormat/>
    <w:rsid w:val="00AB41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41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41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41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418D"/>
    <w:pPr>
      <w:spacing w:before="160"/>
      <w:jc w:val="center"/>
    </w:pPr>
    <w:rPr>
      <w:i/>
      <w:iCs/>
      <w:color w:val="404040" w:themeColor="text1" w:themeTint="BF"/>
    </w:rPr>
  </w:style>
  <w:style w:type="character" w:customStyle="1" w:styleId="QuoteChar">
    <w:name w:val="Quote Char"/>
    <w:basedOn w:val="DefaultParagraphFont"/>
    <w:link w:val="Quote"/>
    <w:uiPriority w:val="29"/>
    <w:rsid w:val="00AB418D"/>
    <w:rPr>
      <w:i/>
      <w:iCs/>
      <w:color w:val="404040" w:themeColor="text1" w:themeTint="BF"/>
    </w:rPr>
  </w:style>
  <w:style w:type="paragraph" w:styleId="ListParagraph">
    <w:name w:val="List Paragraph"/>
    <w:basedOn w:val="Normal"/>
    <w:uiPriority w:val="34"/>
    <w:qFormat/>
    <w:rsid w:val="00AB418D"/>
    <w:pPr>
      <w:ind w:left="720"/>
      <w:contextualSpacing/>
    </w:pPr>
  </w:style>
  <w:style w:type="character" w:styleId="IntenseEmphasis">
    <w:name w:val="Intense Emphasis"/>
    <w:basedOn w:val="DefaultParagraphFont"/>
    <w:uiPriority w:val="21"/>
    <w:qFormat/>
    <w:rsid w:val="00AB418D"/>
    <w:rPr>
      <w:i/>
      <w:iCs/>
      <w:color w:val="0F4761" w:themeColor="accent1" w:themeShade="BF"/>
    </w:rPr>
  </w:style>
  <w:style w:type="paragraph" w:styleId="IntenseQuote">
    <w:name w:val="Intense Quote"/>
    <w:basedOn w:val="Normal"/>
    <w:next w:val="Normal"/>
    <w:link w:val="IntenseQuoteChar"/>
    <w:uiPriority w:val="30"/>
    <w:qFormat/>
    <w:rsid w:val="00AB41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418D"/>
    <w:rPr>
      <w:i/>
      <w:iCs/>
      <w:color w:val="0F4761" w:themeColor="accent1" w:themeShade="BF"/>
    </w:rPr>
  </w:style>
  <w:style w:type="character" w:styleId="IntenseReference">
    <w:name w:val="Intense Reference"/>
    <w:basedOn w:val="DefaultParagraphFont"/>
    <w:uiPriority w:val="32"/>
    <w:qFormat/>
    <w:rsid w:val="00AB418D"/>
    <w:rPr>
      <w:b/>
      <w:bCs/>
      <w:smallCaps/>
      <w:color w:val="0F4761" w:themeColor="accent1" w:themeShade="BF"/>
      <w:spacing w:val="5"/>
    </w:rPr>
  </w:style>
  <w:style w:type="paragraph" w:styleId="BodyText">
    <w:name w:val="Body Text"/>
    <w:basedOn w:val="Normal"/>
    <w:link w:val="BodyTextChar"/>
    <w:uiPriority w:val="1"/>
    <w:qFormat/>
    <w:rsid w:val="00AB418D"/>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AB418D"/>
    <w:rPr>
      <w:rFonts w:ascii="Times New Roman" w:eastAsia="Times New Roman" w:hAnsi="Times New Roman" w:cs="Times New Roman"/>
      <w:kern w:val="0"/>
      <w14:ligatures w14:val="none"/>
    </w:rPr>
  </w:style>
  <w:style w:type="paragraph" w:styleId="FootnoteText">
    <w:name w:val="footnote text"/>
    <w:basedOn w:val="Normal"/>
    <w:link w:val="FootnoteTextChar"/>
    <w:uiPriority w:val="99"/>
    <w:unhideWhenUsed/>
    <w:qFormat/>
    <w:rsid w:val="00AB418D"/>
    <w:pPr>
      <w:spacing w:after="200" w:line="240" w:lineRule="auto"/>
    </w:pPr>
    <w:rPr>
      <w:kern w:val="0"/>
      <w14:ligatures w14:val="none"/>
    </w:rPr>
  </w:style>
  <w:style w:type="character" w:customStyle="1" w:styleId="FootnoteTextChar">
    <w:name w:val="Footnote Text Char"/>
    <w:basedOn w:val="DefaultParagraphFont"/>
    <w:link w:val="FootnoteText"/>
    <w:uiPriority w:val="99"/>
    <w:rsid w:val="00AB418D"/>
    <w:rPr>
      <w:kern w:val="0"/>
      <w14:ligatures w14:val="none"/>
    </w:rPr>
  </w:style>
  <w:style w:type="character" w:styleId="FootnoteReference">
    <w:name w:val="footnote reference"/>
    <w:basedOn w:val="DefaultParagraphFont"/>
    <w:uiPriority w:val="99"/>
    <w:rsid w:val="00AB418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781</Words>
  <Characters>4457</Characters>
  <Application>Microsoft Office Word</Application>
  <DocSecurity>0</DocSecurity>
  <Lines>37</Lines>
  <Paragraphs>10</Paragraphs>
  <ScaleCrop>false</ScaleCrop>
  <Company/>
  <LinksUpToDate>false</LinksUpToDate>
  <CharactersWithSpaces>5228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fcalado</dc:creator>
  <cp:keywords/>
  <dc:description/>
  <cp:lastModifiedBy>fcalado</cp:lastModifiedBy>
  <cp:revision>2</cp:revision>
  <dcterms:created xsi:type="dcterms:W3CDTF">2025-12-20T23:14:00Z</dcterms:created>
  <dcterms:modified xsi:type="dcterms:W3CDTF">2025-12-20T23:21:00Z</dcterms:modified>
</cp:coreProperties>
</file>