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33DDA" w14:textId="2CF476B0" w:rsidR="007467AF" w:rsidRPr="00893A56" w:rsidRDefault="00000000" w:rsidP="00893A56">
      <w:pPr>
        <w:pStyle w:val="Heading1"/>
        <w:spacing w:line="480" w:lineRule="auto"/>
        <w:rPr>
          <w:rFonts w:ascii="Times New Roman" w:hAnsi="Times New Roman" w:cs="Times New Roman"/>
          <w:sz w:val="24"/>
          <w:szCs w:val="24"/>
        </w:rPr>
      </w:pPr>
      <w:bookmarkStart w:id="0" w:name="orgc94eace"/>
      <w:bookmarkStart w:id="1" w:name="OrgXref.orgc94eace"/>
      <w:bookmarkEnd w:id="0"/>
      <w:r w:rsidRPr="00893A56">
        <w:rPr>
          <w:rFonts w:ascii="Times New Roman" w:hAnsi="Times New Roman" w:cs="Times New Roman"/>
          <w:sz w:val="24"/>
          <w:szCs w:val="24"/>
        </w:rPr>
        <w:t>Doubt</w:t>
      </w:r>
      <w:bookmarkEnd w:id="1"/>
    </w:p>
    <w:p w14:paraId="45CEC558" w14:textId="77777777" w:rsidR="00893A56" w:rsidRDefault="00000000" w:rsidP="00893A56">
      <w:pPr>
        <w:pStyle w:val="Textbody"/>
        <w:spacing w:line="480" w:lineRule="auto"/>
        <w:rPr>
          <w:rFonts w:cs="Times New Roman"/>
        </w:rPr>
      </w:pPr>
      <w:r w:rsidRPr="00893A56">
        <w:rPr>
          <w:rFonts w:cs="Times New Roman"/>
        </w:rPr>
        <w:t xml:space="preserve">1 </w:t>
      </w:r>
    </w:p>
    <w:p w14:paraId="6EC8BF6A" w14:textId="77CB1AC4" w:rsidR="007467AF" w:rsidRPr="00893A56" w:rsidRDefault="00000000" w:rsidP="00893A56">
      <w:pPr>
        <w:pStyle w:val="Textbody"/>
        <w:spacing w:line="480" w:lineRule="auto"/>
        <w:ind w:firstLine="709"/>
        <w:rPr>
          <w:rFonts w:cs="Times New Roman"/>
        </w:rPr>
      </w:pPr>
      <w:r w:rsidRPr="00893A56">
        <w:rPr>
          <w:rFonts w:cs="Times New Roman"/>
        </w:rPr>
        <w:t xml:space="preserve">The novel </w:t>
      </w:r>
      <w:r w:rsidRPr="00893A56">
        <w:rPr>
          <w:rStyle w:val="Emphasis"/>
          <w:rFonts w:cs="Times New Roman"/>
        </w:rPr>
        <w:t>Orlando: A Biography</w:t>
      </w:r>
      <w:r w:rsidRPr="00893A56">
        <w:rPr>
          <w:rFonts w:cs="Times New Roman"/>
        </w:rPr>
        <w:t xml:space="preserve"> (1928), by Virginia Woolf, famously opens with an assertive gender designation followed by an immediate qualification: “He—-for there could be no doubt of his sex, though the fashion of the time did something to disguise it" (11).</w:t>
      </w:r>
    </w:p>
    <w:p w14:paraId="683FD265" w14:textId="77777777" w:rsidR="00893A56" w:rsidRDefault="00000000" w:rsidP="00893A56">
      <w:pPr>
        <w:pStyle w:val="Textbody"/>
        <w:spacing w:line="480" w:lineRule="auto"/>
        <w:rPr>
          <w:rFonts w:cs="Times New Roman"/>
        </w:rPr>
      </w:pPr>
      <w:r w:rsidRPr="00893A56">
        <w:rPr>
          <w:rFonts w:cs="Times New Roman"/>
        </w:rPr>
        <w:t xml:space="preserve">2 </w:t>
      </w:r>
    </w:p>
    <w:p w14:paraId="26644304" w14:textId="5891B0FE" w:rsidR="007467AF" w:rsidRPr="00893A56" w:rsidRDefault="00000000" w:rsidP="00893A56">
      <w:pPr>
        <w:pStyle w:val="Textbody"/>
        <w:spacing w:line="480" w:lineRule="auto"/>
        <w:ind w:firstLine="709"/>
        <w:rPr>
          <w:rFonts w:cs="Times New Roman"/>
        </w:rPr>
      </w:pPr>
      <w:r w:rsidRPr="00893A56">
        <w:rPr>
          <w:rFonts w:cs="Times New Roman"/>
        </w:rPr>
        <w:t>In order to perform quantitative text analysis on this text, the standard tasks of “pre-processing” would evacuate this sentence of its gender qualification. Text analysis, a process which involves calculating and visualizing textual patterns, requires transforming the source text into a computable format. Pre-processing the text (also called “cleaning” or “regularizing” the text) would strip capitalized words, punctuation, “stop words” (such as articles and prepositions), and inflections in word endings, all of which are deemed to be semantically minor, and would affect the analysis of more substantial features like nouns, verbs, adverbs, and adjectives.</w:t>
      </w:r>
    </w:p>
    <w:p w14:paraId="424C9BE8" w14:textId="77777777" w:rsidR="00893A56" w:rsidRDefault="00000000" w:rsidP="00893A56">
      <w:pPr>
        <w:pStyle w:val="Textbody"/>
        <w:spacing w:line="480" w:lineRule="auto"/>
        <w:rPr>
          <w:rFonts w:cs="Times New Roman"/>
        </w:rPr>
      </w:pPr>
      <w:r w:rsidRPr="00893A56">
        <w:rPr>
          <w:rFonts w:cs="Times New Roman"/>
        </w:rPr>
        <w:t xml:space="preserve">3 </w:t>
      </w:r>
    </w:p>
    <w:p w14:paraId="6F6BAD84" w14:textId="73774986" w:rsidR="007467AF" w:rsidRPr="00893A56" w:rsidRDefault="00000000" w:rsidP="00893A56">
      <w:pPr>
        <w:pStyle w:val="Textbody"/>
        <w:spacing w:line="480" w:lineRule="auto"/>
        <w:ind w:firstLine="567"/>
        <w:rPr>
          <w:rFonts w:cs="Times New Roman"/>
        </w:rPr>
      </w:pPr>
      <w:r w:rsidRPr="00893A56">
        <w:rPr>
          <w:rFonts w:cs="Times New Roman"/>
        </w:rPr>
        <w:t>Cleaning the first sentence not only would strip it of its pronouns, including the gender assertion in the first word, “He.” It would also cut the em dash immediately following this “He,” signaling the entrance of the narrator and his conspicuous certitude: “—for there could be no doubt of his sex….” Only the following list of words would remain:</w:t>
      </w:r>
    </w:p>
    <w:p w14:paraId="10ECA295" w14:textId="77777777" w:rsidR="007467AF" w:rsidRPr="00893A56" w:rsidRDefault="00000000" w:rsidP="00893A56">
      <w:pPr>
        <w:pStyle w:val="Quotations"/>
        <w:spacing w:line="480" w:lineRule="auto"/>
        <w:rPr>
          <w:rFonts w:cs="Times New Roman"/>
        </w:rPr>
      </w:pPr>
      <w:r w:rsidRPr="00893A56">
        <w:rPr>
          <w:rFonts w:cs="Times New Roman"/>
        </w:rPr>
        <w:t>‘could’, ‘doubt’, ‘sex’, ‘though’, ‘fashion’, ‘time’, ‘something’, ‘disguise’</w:t>
      </w:r>
    </w:p>
    <w:p w14:paraId="4F52D517" w14:textId="77777777" w:rsidR="00893A56" w:rsidRDefault="00000000" w:rsidP="00893A56">
      <w:pPr>
        <w:pStyle w:val="Textbody"/>
        <w:spacing w:line="480" w:lineRule="auto"/>
        <w:rPr>
          <w:rFonts w:cs="Times New Roman"/>
        </w:rPr>
      </w:pPr>
      <w:r w:rsidRPr="00893A56">
        <w:rPr>
          <w:rFonts w:cs="Times New Roman"/>
        </w:rPr>
        <w:t xml:space="preserve">4 </w:t>
      </w:r>
    </w:p>
    <w:p w14:paraId="6125EABF" w14:textId="4D123A49" w:rsidR="007467AF" w:rsidRPr="00893A56" w:rsidRDefault="00000000" w:rsidP="00893A56">
      <w:pPr>
        <w:pStyle w:val="Textbody"/>
        <w:spacing w:line="480" w:lineRule="auto"/>
        <w:ind w:firstLine="709"/>
        <w:rPr>
          <w:rFonts w:cs="Times New Roman"/>
        </w:rPr>
      </w:pPr>
      <w:r w:rsidRPr="00893A56">
        <w:rPr>
          <w:rFonts w:cs="Times New Roman"/>
        </w:rPr>
        <w:t xml:space="preserve">Text analysis requires removing such "minor" elements of language in order to find connections among more "substantial" terms. None these features, however, are minor in a text about a fictional biography of a 16th-century English nobleman who undergoes a sex change. </w:t>
      </w:r>
      <w:r w:rsidRPr="00893A56">
        <w:rPr>
          <w:rFonts w:cs="Times New Roman"/>
        </w:rPr>
        <w:lastRenderedPageBreak/>
        <w:t>Orlando's gender, as many critics point out, develops along with his story.</w:t>
      </w:r>
      <w:r w:rsidRPr="00893A56">
        <w:rPr>
          <w:rStyle w:val="FootnoteReference"/>
          <w:rFonts w:cs="Times New Roman"/>
        </w:rPr>
        <w:footnoteReference w:id="1"/>
      </w:r>
      <w:r w:rsidRPr="00893A56">
        <w:rPr>
          <w:rFonts w:cs="Times New Roman"/>
        </w:rPr>
        <w:t xml:space="preserve"> His trials and tribulations experienced as a man are resolved when he becomes a woman, and she experiences a form of self-actualization that not only transcends time but also stops it. If Orlando has a thesis about gender, it is this-—there is no gender, but only what we make of it. Gender therefore relies on fiction, on fantasy and imagination, in order to come into being.</w:t>
      </w:r>
    </w:p>
    <w:p w14:paraId="36895DB7" w14:textId="77777777" w:rsidR="00893A56" w:rsidRDefault="00000000" w:rsidP="00893A56">
      <w:pPr>
        <w:pStyle w:val="Textbody"/>
        <w:spacing w:line="480" w:lineRule="auto"/>
        <w:rPr>
          <w:rFonts w:cs="Times New Roman"/>
        </w:rPr>
      </w:pPr>
      <w:r w:rsidRPr="00893A56">
        <w:rPr>
          <w:rFonts w:cs="Times New Roman"/>
        </w:rPr>
        <w:t xml:space="preserve">5 </w:t>
      </w:r>
    </w:p>
    <w:p w14:paraId="06AB7935" w14:textId="37C5B3A4" w:rsidR="007467AF" w:rsidRPr="00893A56" w:rsidRDefault="00000000" w:rsidP="00893A56">
      <w:pPr>
        <w:pStyle w:val="Textbody"/>
        <w:spacing w:line="480" w:lineRule="auto"/>
        <w:ind w:firstLine="432"/>
        <w:rPr>
          <w:rFonts w:cs="Times New Roman"/>
        </w:rPr>
      </w:pPr>
      <w:r w:rsidRPr="00893A56">
        <w:rPr>
          <w:rFonts w:cs="Times New Roman"/>
        </w:rPr>
        <w:t xml:space="preserve">This chapter examines how quantitative text analysis works to analyze gender by using Woolf’s </w:t>
      </w:r>
      <w:r w:rsidRPr="00893A56">
        <w:rPr>
          <w:rStyle w:val="Emphasis"/>
          <w:rFonts w:cs="Times New Roman"/>
        </w:rPr>
        <w:t>Orlando</w:t>
      </w:r>
      <w:r w:rsidRPr="00893A56">
        <w:rPr>
          <w:rFonts w:cs="Times New Roman"/>
        </w:rPr>
        <w:t xml:space="preserve"> as a test case. It explores an experimental approach to text analysis that deconstructs gender binaries by drawing connections between computer programming and gender theory–Judith Butler's theory of gender performativity. This analysis surfaces a mechanism common to both text analysis and gender performativity, which is </w:t>
      </w:r>
      <w:r w:rsidRPr="00893A56">
        <w:rPr>
          <w:rStyle w:val="Emphasis"/>
          <w:rFonts w:cs="Times New Roman"/>
        </w:rPr>
        <w:t>iteration</w:t>
      </w:r>
      <w:r w:rsidRPr="00893A56">
        <w:rPr>
          <w:rFonts w:cs="Times New Roman"/>
        </w:rPr>
        <w:t xml:space="preserve">. There is an iterative method that works on both text analysis and on gender which, I argue, can be harnessed to resignify text analysis procedures. This chapter proposes a text analysis procedure that iterates through various gender terms in </w:t>
      </w:r>
      <w:r w:rsidRPr="00893A56">
        <w:rPr>
          <w:rStyle w:val="Emphasis"/>
          <w:rFonts w:cs="Times New Roman"/>
        </w:rPr>
        <w:t>Orlando</w:t>
      </w:r>
      <w:r w:rsidRPr="00893A56">
        <w:rPr>
          <w:rFonts w:cs="Times New Roman"/>
        </w:rPr>
        <w:t>, to re-signify their meaning within binary constraints. The goal here, as with Butler's own work, is to work within constrictive structures, like the gender binary, from the inside.</w:t>
      </w:r>
    </w:p>
    <w:p w14:paraId="7B55953B" w14:textId="77777777" w:rsidR="007467AF" w:rsidRPr="00893A56" w:rsidRDefault="00000000" w:rsidP="00893A56">
      <w:pPr>
        <w:pStyle w:val="Heading1"/>
        <w:spacing w:line="480" w:lineRule="auto"/>
        <w:rPr>
          <w:rFonts w:ascii="Times New Roman" w:hAnsi="Times New Roman" w:cs="Times New Roman"/>
          <w:sz w:val="24"/>
          <w:szCs w:val="24"/>
        </w:rPr>
      </w:pPr>
      <w:bookmarkStart w:id="2" w:name="orgd281cac"/>
      <w:bookmarkStart w:id="3" w:name="OrgXref.orgd281cac"/>
      <w:bookmarkEnd w:id="2"/>
      <w:r w:rsidRPr="00893A56">
        <w:rPr>
          <w:rFonts w:ascii="Times New Roman" w:hAnsi="Times New Roman" w:cs="Times New Roman"/>
          <w:sz w:val="24"/>
          <w:szCs w:val="24"/>
        </w:rPr>
        <w:t>Falsifiable</w:t>
      </w:r>
      <w:bookmarkEnd w:id="3"/>
    </w:p>
    <w:p w14:paraId="1D4AF45E" w14:textId="77777777" w:rsidR="007467AF" w:rsidRPr="00893A56" w:rsidRDefault="00000000" w:rsidP="00893A56">
      <w:pPr>
        <w:pStyle w:val="Textbody"/>
        <w:spacing w:line="480" w:lineRule="auto"/>
        <w:rPr>
          <w:rFonts w:cs="Times New Roman"/>
        </w:rPr>
      </w:pPr>
      <w:r w:rsidRPr="00893A56">
        <w:rPr>
          <w:rFonts w:cs="Times New Roman"/>
        </w:rPr>
        <w:t>1</w:t>
      </w:r>
    </w:p>
    <w:p w14:paraId="5F8D7E42" w14:textId="77777777" w:rsidR="007467AF" w:rsidRPr="00893A56" w:rsidRDefault="00000000" w:rsidP="00893A56">
      <w:pPr>
        <w:pStyle w:val="Textbody"/>
        <w:spacing w:line="480" w:lineRule="auto"/>
        <w:ind w:firstLine="709"/>
        <w:rPr>
          <w:rFonts w:cs="Times New Roman"/>
        </w:rPr>
      </w:pPr>
      <w:r w:rsidRPr="00893A56">
        <w:rPr>
          <w:rFonts w:cs="Times New Roman"/>
        </w:rPr>
        <w:t>The origins of text analysis methods can often be traced to great ambitions.</w:t>
      </w:r>
      <w:r w:rsidRPr="00893A56">
        <w:rPr>
          <w:rStyle w:val="FootnoteReference"/>
          <w:rFonts w:cs="Times New Roman"/>
        </w:rPr>
        <w:footnoteReference w:id="2"/>
      </w:r>
      <w:r w:rsidRPr="00893A56">
        <w:rPr>
          <w:rFonts w:cs="Times New Roman"/>
        </w:rPr>
        <w:t xml:space="preserve"> The great ambition for this this particular story comes from Franco Moretti, who wrote a collection of polemical essays called </w:t>
      </w:r>
      <w:r w:rsidRPr="00893A56">
        <w:rPr>
          <w:rStyle w:val="Emphasis"/>
          <w:rFonts w:cs="Times New Roman"/>
        </w:rPr>
        <w:t>Distant Reading</w:t>
      </w:r>
      <w:r w:rsidRPr="00893A56">
        <w:rPr>
          <w:rFonts w:cs="Times New Roman"/>
        </w:rPr>
        <w:t xml:space="preserve">. Moretti introduced many people, including myself, then a young graduate student, to using computational tools to study literature, which he calls "distant </w:t>
      </w:r>
      <w:r w:rsidRPr="00893A56">
        <w:rPr>
          <w:rFonts w:cs="Times New Roman"/>
        </w:rPr>
        <w:lastRenderedPageBreak/>
        <w:t>reading." As I explain in detail below, distant reading is a kind of text analysis which involves counting textual features to derive textual patterns, and to draw inferences from these patterns. It is a kind of analysis in which "distance" as Moretti explains, "is a condition of knowledge" (48).</w:t>
      </w:r>
    </w:p>
    <w:p w14:paraId="52318816" w14:textId="77777777" w:rsidR="007467AF" w:rsidRPr="00893A56" w:rsidRDefault="00000000" w:rsidP="00893A56">
      <w:pPr>
        <w:pStyle w:val="Textbody"/>
        <w:spacing w:line="480" w:lineRule="auto"/>
        <w:rPr>
          <w:rFonts w:cs="Times New Roman"/>
        </w:rPr>
      </w:pPr>
      <w:r w:rsidRPr="00893A56">
        <w:rPr>
          <w:rFonts w:cs="Times New Roman"/>
        </w:rPr>
        <w:t>2</w:t>
      </w:r>
    </w:p>
    <w:p w14:paraId="513E933A" w14:textId="77777777" w:rsidR="007467AF" w:rsidRPr="00893A56" w:rsidRDefault="00000000" w:rsidP="00893A56">
      <w:pPr>
        <w:pStyle w:val="Textbody"/>
        <w:spacing w:line="480" w:lineRule="auto"/>
        <w:ind w:firstLine="567"/>
        <w:rPr>
          <w:rFonts w:cs="Times New Roman"/>
        </w:rPr>
      </w:pPr>
      <w:r w:rsidRPr="00893A56">
        <w:rPr>
          <w:rFonts w:cs="Times New Roman"/>
        </w:rPr>
        <w:t xml:space="preserve">In the wake of a </w:t>
      </w:r>
      <w:r w:rsidRPr="00893A56">
        <w:rPr>
          <w:rStyle w:val="Emphasis"/>
          <w:rFonts w:cs="Times New Roman"/>
        </w:rPr>
        <w:t>NYTimes</w:t>
      </w:r>
      <w:r w:rsidRPr="00893A56">
        <w:rPr>
          <w:rFonts w:cs="Times New Roman"/>
        </w:rPr>
        <w:t xml:space="preserve"> profile on him in 2017, three students accused Moretti of sexual crimes. The accusations ranged from unsolicited touching to rape. One of his accusers was a first-year graduate student in English.</w:t>
      </w:r>
    </w:p>
    <w:p w14:paraId="68A2ECBD" w14:textId="77777777" w:rsidR="007467AF" w:rsidRPr="00893A56" w:rsidRDefault="00000000" w:rsidP="00893A56">
      <w:pPr>
        <w:pStyle w:val="Quotations"/>
        <w:spacing w:line="480" w:lineRule="auto"/>
        <w:ind w:left="1418"/>
        <w:rPr>
          <w:rFonts w:cs="Times New Roman"/>
        </w:rPr>
      </w:pPr>
      <w:r w:rsidRPr="00893A56">
        <w:rPr>
          <w:rFonts w:cs="Times New Roman"/>
        </w:rPr>
        <w:t>When I was a graduate student at UC Berkeley in 1984-85, my then-professor Franco Moretti sexually stalked, pressured, and raped me. He specifically said to me, 'You American girls say no when you mean yes.'[…] I reported him to the Title IX officer, who was then Frances Ferguson, Ph.D. She was a friend of his and urged me not to make a report[…] I told Franco about my conversation with Ferguson, and he threatened to ruin my career if I pressed charges against him. He said he had powerful friends who were attorneys who would ruin my name. I remained silent for all these years because I was in academia. I have told a number of people about it privately, however. These are upstanding, well-known professors of history and English at other institutions, who would certainly corroborate my story. (Kimberly Latta "Op-Ed: What Happened?" 2017).</w:t>
      </w:r>
    </w:p>
    <w:p w14:paraId="4D60F23D" w14:textId="77777777" w:rsidR="007467AF" w:rsidRPr="00893A56" w:rsidRDefault="00000000" w:rsidP="00893A56">
      <w:pPr>
        <w:pStyle w:val="Textbody"/>
        <w:spacing w:line="480" w:lineRule="auto"/>
        <w:rPr>
          <w:rFonts w:cs="Times New Roman"/>
        </w:rPr>
      </w:pPr>
      <w:r w:rsidRPr="00893A56">
        <w:rPr>
          <w:rFonts w:cs="Times New Roman"/>
        </w:rPr>
        <w:t>When the women came forward, Stanford university claimed to be reviewing the cases with no other action being taken. There has been no record of an inquiry, investigation, or any repurcussions for Moretti (Liu, Knowles, "Harassment, assault allegations against Moretti span three campuses"). He is currently Emeritus Professor at the same institution.</w:t>
      </w:r>
    </w:p>
    <w:p w14:paraId="1B39F75D" w14:textId="77777777" w:rsidR="007467AF" w:rsidRPr="00893A56" w:rsidRDefault="00000000" w:rsidP="00893A56">
      <w:pPr>
        <w:pStyle w:val="Textbody"/>
        <w:spacing w:line="480" w:lineRule="auto"/>
        <w:rPr>
          <w:rFonts w:cs="Times New Roman"/>
        </w:rPr>
      </w:pPr>
      <w:r w:rsidRPr="00893A56">
        <w:rPr>
          <w:rFonts w:cs="Times New Roman"/>
        </w:rPr>
        <w:t>3</w:t>
      </w:r>
    </w:p>
    <w:p w14:paraId="19D35F2A" w14:textId="56B21BC0" w:rsidR="007467AF" w:rsidRPr="00893A56" w:rsidRDefault="00000000" w:rsidP="00893A56">
      <w:pPr>
        <w:pStyle w:val="Textbody"/>
        <w:spacing w:line="480" w:lineRule="auto"/>
        <w:ind w:firstLine="709"/>
        <w:rPr>
          <w:rFonts w:cs="Times New Roman"/>
        </w:rPr>
      </w:pPr>
      <w:r w:rsidRPr="00893A56">
        <w:rPr>
          <w:rFonts w:cs="Times New Roman"/>
        </w:rPr>
        <w:lastRenderedPageBreak/>
        <w:t xml:space="preserve">Moretti's writing has an easy, conversational flow. He uses short sentences, but with varied syntactic structures and frequent commas, giving his prose a sense of rhythm. He also weaves in references across fields of knowledge as disparate as evolutionary theory, systems theory, and Marxism. Despite this </w:t>
      </w:r>
      <w:r w:rsidR="00893A56" w:rsidRPr="00893A56">
        <w:rPr>
          <w:rFonts w:cs="Times New Roman"/>
        </w:rPr>
        <w:t>intellectual</w:t>
      </w:r>
      <w:r w:rsidRPr="00893A56">
        <w:rPr>
          <w:rFonts w:cs="Times New Roman"/>
        </w:rPr>
        <w:t xml:space="preserve"> baggage, his arguments move at a light clip, and seem to circle methodically around a drain so that, as long as you're following him, there appears to be no alternative. The effect is entra</w:t>
      </w:r>
      <w:r w:rsidR="00893A56">
        <w:rPr>
          <w:rFonts w:cs="Times New Roman"/>
        </w:rPr>
        <w:t>n</w:t>
      </w:r>
      <w:r w:rsidRPr="00893A56">
        <w:rPr>
          <w:rFonts w:cs="Times New Roman"/>
        </w:rPr>
        <w:t>cing.</w:t>
      </w:r>
    </w:p>
    <w:p w14:paraId="5CF68075" w14:textId="77777777" w:rsidR="007467AF" w:rsidRPr="00893A56" w:rsidRDefault="00000000" w:rsidP="00893A56">
      <w:pPr>
        <w:pStyle w:val="Textbody"/>
        <w:spacing w:line="480" w:lineRule="auto"/>
        <w:ind w:firstLine="567"/>
        <w:rPr>
          <w:rFonts w:cs="Times New Roman"/>
        </w:rPr>
      </w:pPr>
      <w:r w:rsidRPr="00893A56">
        <w:rPr>
          <w:rFonts w:cs="Times New Roman"/>
        </w:rPr>
        <w:t>But there is something suspect about his confidence. Not just his ambition–which was shared among so others in the field that it seemed to be the price of entry</w:t>
      </w:r>
      <w:r w:rsidRPr="00893A56">
        <w:rPr>
          <w:rStyle w:val="FootnoteReference"/>
          <w:rFonts w:cs="Times New Roman"/>
        </w:rPr>
        <w:footnoteReference w:id="3"/>
      </w:r>
      <w:r w:rsidRPr="00893A56">
        <w:rPr>
          <w:rFonts w:cs="Times New Roman"/>
        </w:rPr>
        <w:t>—but the way he proffers his arguments. He transforms inferences, premises, and hypotheses into declarative statements. Paragraphs begin with sentences like,</w:t>
      </w:r>
    </w:p>
    <w:p w14:paraId="77AAFD2A" w14:textId="77777777" w:rsidR="007467AF" w:rsidRPr="00893A56" w:rsidRDefault="00000000" w:rsidP="00893A56">
      <w:pPr>
        <w:pStyle w:val="Quotations"/>
        <w:spacing w:line="480" w:lineRule="auto"/>
        <w:ind w:left="1418"/>
        <w:rPr>
          <w:rFonts w:cs="Times New Roman"/>
        </w:rPr>
      </w:pPr>
      <w:r w:rsidRPr="00893A56">
        <w:rPr>
          <w:rFonts w:cs="Times New Roman"/>
        </w:rPr>
        <w:t>So, the market selects the canon. But how? (69).</w:t>
      </w:r>
    </w:p>
    <w:p w14:paraId="75BF2D57" w14:textId="77777777" w:rsidR="007467AF" w:rsidRPr="00893A56" w:rsidRDefault="00000000" w:rsidP="00893A56">
      <w:pPr>
        <w:pStyle w:val="Quotations"/>
        <w:spacing w:line="480" w:lineRule="auto"/>
        <w:ind w:left="1418"/>
        <w:rPr>
          <w:rFonts w:cs="Times New Roman"/>
        </w:rPr>
      </w:pPr>
      <w:r w:rsidRPr="00893A56">
        <w:rPr>
          <w:rFonts w:cs="Times New Roman"/>
        </w:rPr>
        <w:t xml:space="preserve">Yes, forms </w:t>
      </w:r>
      <w:r w:rsidRPr="00893A56">
        <w:rPr>
          <w:rStyle w:val="Emphasis"/>
          <w:rFonts w:cs="Times New Roman"/>
        </w:rPr>
        <w:t>can</w:t>
      </w:r>
      <w:r w:rsidRPr="00893A56">
        <w:rPr>
          <w:rFonts w:cs="Times New Roman"/>
        </w:rPr>
        <w:t xml:space="preserve"> move in several directions. But </w:t>
      </w:r>
      <w:r w:rsidRPr="00893A56">
        <w:rPr>
          <w:rStyle w:val="Emphasis"/>
          <w:rFonts w:cs="Times New Roman"/>
        </w:rPr>
        <w:t>do</w:t>
      </w:r>
      <w:r w:rsidRPr="00893A56">
        <w:rPr>
          <w:rFonts w:cs="Times New Roman"/>
        </w:rPr>
        <w:t xml:space="preserve"> they? (emphasis original, 112).</w:t>
      </w:r>
    </w:p>
    <w:p w14:paraId="423B50D3" w14:textId="77777777" w:rsidR="007467AF" w:rsidRPr="00893A56" w:rsidRDefault="00000000" w:rsidP="00893A56">
      <w:pPr>
        <w:pStyle w:val="Quotations"/>
        <w:spacing w:line="480" w:lineRule="auto"/>
        <w:ind w:left="1418"/>
        <w:rPr>
          <w:rFonts w:cs="Times New Roman"/>
        </w:rPr>
      </w:pPr>
      <w:r w:rsidRPr="00893A56">
        <w:rPr>
          <w:rFonts w:cs="Times New Roman"/>
        </w:rPr>
        <w:t>So. As novelistic forms travel through the literary system, their plots are (largely) preserved, while their styles are (partly) lost—and replaced by 'local' ones (134).</w:t>
      </w:r>
    </w:p>
    <w:p w14:paraId="78988FFB" w14:textId="77777777" w:rsidR="007467AF" w:rsidRPr="00893A56" w:rsidRDefault="00000000" w:rsidP="00893A56">
      <w:pPr>
        <w:pStyle w:val="Quotations"/>
        <w:spacing w:line="480" w:lineRule="auto"/>
        <w:ind w:left="1418"/>
        <w:rPr>
          <w:rFonts w:cs="Times New Roman"/>
        </w:rPr>
      </w:pPr>
      <w:r w:rsidRPr="00893A56">
        <w:rPr>
          <w:rFonts w:cs="Times New Roman"/>
        </w:rPr>
        <w:t>What did the birth of a consumer society mean for the European novel? More novels, less attention (175).</w:t>
      </w:r>
    </w:p>
    <w:p w14:paraId="0FD88E84" w14:textId="77777777" w:rsidR="007467AF" w:rsidRPr="00893A56" w:rsidRDefault="00000000" w:rsidP="00893A56">
      <w:pPr>
        <w:pStyle w:val="Quotations"/>
        <w:spacing w:line="480" w:lineRule="auto"/>
        <w:ind w:left="1418"/>
        <w:rPr>
          <w:rFonts w:cs="Times New Roman"/>
        </w:rPr>
      </w:pPr>
      <w:r w:rsidRPr="00893A56">
        <w:rPr>
          <w:rFonts w:cs="Times New Roman"/>
        </w:rPr>
        <w:t>The major metaphorphosis of eighteenth-century titles is simple: in the space of two generations, they become much, much shorter (182).</w:t>
      </w:r>
    </w:p>
    <w:p w14:paraId="01E01AE0" w14:textId="77777777" w:rsidR="007467AF" w:rsidRPr="00893A56" w:rsidRDefault="00000000" w:rsidP="00893A56">
      <w:pPr>
        <w:pStyle w:val="Quotations"/>
        <w:spacing w:line="480" w:lineRule="auto"/>
        <w:ind w:left="1418"/>
        <w:rPr>
          <w:rFonts w:cs="Times New Roman"/>
        </w:rPr>
      </w:pPr>
      <w:r w:rsidRPr="00893A56">
        <w:rPr>
          <w:rFonts w:cs="Times New Roman"/>
        </w:rPr>
        <w:t xml:space="preserve">As the market expands, titles contract; as they do that, they learn to compress </w:t>
      </w:r>
      <w:r w:rsidRPr="00893A56">
        <w:rPr>
          <w:rFonts w:cs="Times New Roman"/>
        </w:rPr>
        <w:lastRenderedPageBreak/>
        <w:t xml:space="preserve">meaning; and as they do </w:t>
      </w:r>
      <w:r w:rsidRPr="00893A56">
        <w:rPr>
          <w:rStyle w:val="Emphasis"/>
          <w:rFonts w:cs="Times New Roman"/>
        </w:rPr>
        <w:t>that</w:t>
      </w:r>
      <w:r w:rsidRPr="00893A56">
        <w:rPr>
          <w:rFonts w:cs="Times New Roman"/>
        </w:rPr>
        <w:t>, they develop special 'signals' to place books in the right market niche (204).</w:t>
      </w:r>
    </w:p>
    <w:p w14:paraId="0D73AA57" w14:textId="77777777" w:rsidR="007467AF" w:rsidRPr="00893A56" w:rsidRDefault="00000000" w:rsidP="00893A56">
      <w:pPr>
        <w:pStyle w:val="Textbody"/>
        <w:spacing w:line="480" w:lineRule="auto"/>
        <w:rPr>
          <w:rFonts w:cs="Times New Roman"/>
        </w:rPr>
      </w:pPr>
      <w:r w:rsidRPr="00893A56">
        <w:rPr>
          <w:rFonts w:cs="Times New Roman"/>
        </w:rPr>
        <w:t xml:space="preserve">These quotes, taken from mostly different essays in </w:t>
      </w:r>
      <w:r w:rsidRPr="00893A56">
        <w:rPr>
          <w:rStyle w:val="Emphasis"/>
          <w:rFonts w:cs="Times New Roman"/>
        </w:rPr>
        <w:t>Distant Reading</w:t>
      </w:r>
      <w:r w:rsidRPr="00893A56">
        <w:rPr>
          <w:rFonts w:cs="Times New Roman"/>
        </w:rPr>
        <w:t>, show Moretti's characteristic way of stating a claim or hypothesis as a conclusion, as if the point is already self-evident. To be fair, many of these points do synthesize arguments and evidence from previous paragraphs. They are, some of them, more summary of previous points than completely new ones. But it is the way they are presented here strikes me. Their apparent solidity, the lack of a subjective "I" to ground them, the presumptuousness and ease with which they make room for themselves in the world. It is not confidence, it is something more than confidence, which felt exciting at the same time that it felt dangerously familiar.</w:t>
      </w:r>
    </w:p>
    <w:p w14:paraId="295A9078" w14:textId="77777777" w:rsidR="007467AF" w:rsidRPr="00893A56" w:rsidRDefault="00000000" w:rsidP="00893A56">
      <w:pPr>
        <w:pStyle w:val="Textbody"/>
        <w:spacing w:line="480" w:lineRule="auto"/>
        <w:rPr>
          <w:rFonts w:cs="Times New Roman"/>
        </w:rPr>
      </w:pPr>
      <w:r w:rsidRPr="00893A56">
        <w:rPr>
          <w:rFonts w:cs="Times New Roman"/>
        </w:rPr>
        <w:t>4</w:t>
      </w:r>
    </w:p>
    <w:p w14:paraId="1265134E" w14:textId="77777777" w:rsidR="007467AF" w:rsidRPr="00893A56" w:rsidRDefault="00000000" w:rsidP="00893A56">
      <w:pPr>
        <w:pStyle w:val="Textbody"/>
        <w:spacing w:line="480" w:lineRule="auto"/>
        <w:ind w:firstLine="709"/>
        <w:rPr>
          <w:rFonts w:cs="Times New Roman"/>
        </w:rPr>
      </w:pPr>
      <w:r w:rsidRPr="00893A56">
        <w:rPr>
          <w:rFonts w:cs="Times New Roman"/>
        </w:rPr>
        <w:t>One of Moretti's earliest essays, "The Soul and the Harpy" sows the seeds that would eventually grow into distant reading. Published in 1983, two years before the date of the student's report of assault, this essay lays out new methodological standards for literary criticism. In it, he appears to be very concerned about the apparently unstable methodology of close reading, which drives contemporary literary criticism; he betrays a deep suspicion about this and other analytical practices that “multiply, rather than reduce, the obstacles every social science encounters when it tries to give itself a testable foundation” ("Soul" 22). The literary critic he likens to "Narcissus", "whose only pleasure lay[s] in contemplating his own reflection (“Soul” 14).</w:t>
      </w:r>
    </w:p>
    <w:p w14:paraId="4AA2444B" w14:textId="77777777" w:rsidR="007467AF" w:rsidRPr="00893A56" w:rsidRDefault="00000000" w:rsidP="00893A56">
      <w:pPr>
        <w:pStyle w:val="Textbody"/>
        <w:spacing w:line="480" w:lineRule="auto"/>
        <w:rPr>
          <w:rFonts w:cs="Times New Roman"/>
        </w:rPr>
      </w:pPr>
      <w:r w:rsidRPr="00893A56">
        <w:rPr>
          <w:rFonts w:cs="Times New Roman"/>
        </w:rPr>
        <w:t>Moretti proposes an alternative methodology, a “falsifiable criticism.” This method grounds the critical process in hypotheses to “test” literary interpretations, pursuing answers that are “coherent, univocal, and complete” (“Soul” 21). But a close look at his reasoning suggests that the goal may not be so much to verify interpretations, but to falsify them.</w:t>
      </w:r>
    </w:p>
    <w:p w14:paraId="4E22CA7C" w14:textId="77777777" w:rsidR="007467AF" w:rsidRPr="00893A56" w:rsidRDefault="00000000" w:rsidP="00893A56">
      <w:pPr>
        <w:pStyle w:val="Quotations"/>
        <w:spacing w:line="480" w:lineRule="auto"/>
        <w:ind w:left="2127"/>
        <w:rPr>
          <w:rFonts w:cs="Times New Roman"/>
        </w:rPr>
      </w:pPr>
      <w:r w:rsidRPr="00893A56">
        <w:rPr>
          <w:rFonts w:cs="Times New Roman"/>
        </w:rPr>
        <w:t xml:space="preserve">“The day criticism gives up the battle cry ‘it is possible to interpret this </w:t>
      </w:r>
      <w:r w:rsidRPr="00893A56">
        <w:rPr>
          <w:rFonts w:cs="Times New Roman"/>
        </w:rPr>
        <w:lastRenderedPageBreak/>
        <w:t>element in the following way,’ to replace it with the much more prosaic ‘the following interpretation is impossible for such and such a reason,’ it will have taken a huge step forward on the road of methodological solidity” (“Soul” 22).</w:t>
      </w:r>
    </w:p>
    <w:p w14:paraId="27BEDDB3" w14:textId="77777777" w:rsidR="007467AF" w:rsidRPr="00893A56" w:rsidRDefault="00000000" w:rsidP="00893A56">
      <w:pPr>
        <w:pStyle w:val="Textbody"/>
        <w:spacing w:line="480" w:lineRule="auto"/>
        <w:rPr>
          <w:rFonts w:cs="Times New Roman"/>
        </w:rPr>
      </w:pPr>
      <w:r w:rsidRPr="00893A56">
        <w:rPr>
          <w:rFonts w:cs="Times New Roman"/>
        </w:rPr>
        <w:t>To squash the possibility of alternative interpretations. For literary criticism to achieve a means of attaining irrefutable conclusions. Moretti here implicitly aligns literary criticism with methodologies from the sciences, known as reproducible methods.</w:t>
      </w:r>
      <w:r w:rsidRPr="00893A56">
        <w:rPr>
          <w:rStyle w:val="FootnoteReference"/>
          <w:rFonts w:cs="Times New Roman"/>
        </w:rPr>
        <w:footnoteReference w:id="4"/>
      </w:r>
      <w:r w:rsidRPr="00893A56">
        <w:rPr>
          <w:rFonts w:cs="Times New Roman"/>
        </w:rPr>
        <w:t xml:space="preserve"> In those discplines, reproduciblility means that the analytical procedure will yield the same result, or as one developmental biologist puts it, "the same researcher carries out an experiment (say) three times, or that another researcher in the same lab carries out the same experiment and, in both cases (across operators), the outcome and conclusions are the same."</w:t>
      </w:r>
      <w:r w:rsidRPr="00893A56">
        <w:rPr>
          <w:rStyle w:val="FootnoteReference"/>
          <w:rFonts w:cs="Times New Roman"/>
        </w:rPr>
        <w:footnoteReference w:id="5"/>
      </w:r>
    </w:p>
    <w:p w14:paraId="604BF005" w14:textId="77777777" w:rsidR="007467AF" w:rsidRPr="00893A56" w:rsidRDefault="00000000" w:rsidP="00893A56">
      <w:pPr>
        <w:pStyle w:val="Textbody"/>
        <w:spacing w:line="480" w:lineRule="auto"/>
        <w:rPr>
          <w:rFonts w:cs="Times New Roman"/>
        </w:rPr>
      </w:pPr>
      <w:r w:rsidRPr="00893A56">
        <w:rPr>
          <w:rFonts w:cs="Times New Roman"/>
        </w:rPr>
        <w:t>5</w:t>
      </w:r>
    </w:p>
    <w:p w14:paraId="5C43E168" w14:textId="77777777" w:rsidR="007467AF" w:rsidRPr="00893A56" w:rsidRDefault="00000000" w:rsidP="00893A56">
      <w:pPr>
        <w:pStyle w:val="Textbody"/>
        <w:spacing w:line="480" w:lineRule="auto"/>
        <w:ind w:firstLine="709"/>
        <w:rPr>
          <w:rFonts w:cs="Times New Roman"/>
        </w:rPr>
      </w:pPr>
      <w:r w:rsidRPr="00893A56">
        <w:rPr>
          <w:rFonts w:cs="Times New Roman"/>
        </w:rPr>
        <w:t>Moretti's nascent idea of falsifiable criticism finds a methodology in quantification, that is, methodologies based the counting of textual features. Quantitatification, according to Moretti, simplifies text into workable units. Language in all its complexity is flattened into features which can be counted and then graphed. As he explains, “fewer elements, hence a sharper sense of their overall interconnection” (</w:t>
      </w:r>
      <w:r w:rsidRPr="00893A56">
        <w:rPr>
          <w:rStyle w:val="Emphasis"/>
          <w:rFonts w:cs="Times New Roman"/>
        </w:rPr>
        <w:t>Graphs, Maps, Trees</w:t>
      </w:r>
      <w:r w:rsidRPr="00893A56">
        <w:rPr>
          <w:rFonts w:cs="Times New Roman"/>
        </w:rPr>
        <w:t xml:space="preserve"> 1). These fewer elements, he argues, enable ambitious interpreptations: "If we want to understand the system in its entirety, we must accept losing something. We always pay a price for theoretical knowledge" (</w:t>
      </w:r>
      <w:r w:rsidRPr="00893A56">
        <w:rPr>
          <w:rStyle w:val="Emphasis"/>
          <w:rFonts w:cs="Times New Roman"/>
        </w:rPr>
        <w:t>Distant Reading</w:t>
      </w:r>
      <w:r w:rsidRPr="00893A56">
        <w:rPr>
          <w:rFonts w:cs="Times New Roman"/>
        </w:rPr>
        <w:t xml:space="preserve"> 49). What is lost, textual textual detail and specificity, is a worthwhile price for the potential reward. "The more </w:t>
      </w:r>
      <w:r w:rsidRPr="00893A56">
        <w:rPr>
          <w:rFonts w:cs="Times New Roman"/>
        </w:rPr>
        <w:lastRenderedPageBreak/>
        <w:t>ambitious the project," Moretti explains, "the greater must the distance be" (</w:t>
      </w:r>
      <w:r w:rsidRPr="00893A56">
        <w:rPr>
          <w:rStyle w:val="Emphasis"/>
          <w:rFonts w:cs="Times New Roman"/>
        </w:rPr>
        <w:t>Distant Reading</w:t>
      </w:r>
      <w:r w:rsidRPr="00893A56">
        <w:rPr>
          <w:rFonts w:cs="Times New Roman"/>
        </w:rPr>
        <w:t xml:space="preserve"> 48).</w:t>
      </w:r>
    </w:p>
    <w:p w14:paraId="332B3AB5" w14:textId="77777777" w:rsidR="007467AF" w:rsidRPr="00893A56" w:rsidRDefault="00000000" w:rsidP="00893A56">
      <w:pPr>
        <w:pStyle w:val="Textbody"/>
        <w:spacing w:line="480" w:lineRule="auto"/>
        <w:rPr>
          <w:rFonts w:cs="Times New Roman"/>
        </w:rPr>
      </w:pPr>
      <w:r w:rsidRPr="00893A56">
        <w:rPr>
          <w:rFonts w:cs="Times New Roman"/>
        </w:rPr>
        <w:t>6</w:t>
      </w:r>
    </w:p>
    <w:p w14:paraId="1C78091F" w14:textId="77777777" w:rsidR="007467AF" w:rsidRPr="00893A56" w:rsidRDefault="00000000" w:rsidP="00893A56">
      <w:pPr>
        <w:pStyle w:val="Textbody"/>
        <w:spacing w:line="480" w:lineRule="auto"/>
        <w:ind w:firstLine="567"/>
        <w:rPr>
          <w:rFonts w:cs="Times New Roman"/>
        </w:rPr>
      </w:pPr>
      <w:r w:rsidRPr="00893A56">
        <w:rPr>
          <w:rFonts w:cs="Times New Roman"/>
        </w:rPr>
        <w:t xml:space="preserve">In one famous essay from </w:t>
      </w:r>
      <w:r w:rsidRPr="00893A56">
        <w:rPr>
          <w:rStyle w:val="Emphasis"/>
          <w:rFonts w:cs="Times New Roman"/>
        </w:rPr>
        <w:t>Distant Reading</w:t>
      </w:r>
      <w:r w:rsidRPr="00893A56">
        <w:rPr>
          <w:rFonts w:cs="Times New Roman"/>
        </w:rPr>
        <w:t>, "Style, Inc.," Moretti reduces entire novels to just their titles. Here, he explores what titles, which get shorter and shorter over the 18th century, might reveal about trends in the book market. Moretti describes his analytical process:</w:t>
      </w:r>
    </w:p>
    <w:p w14:paraId="4402BC29" w14:textId="77777777" w:rsidR="007467AF" w:rsidRPr="00893A56" w:rsidRDefault="00000000" w:rsidP="00893A56">
      <w:pPr>
        <w:pStyle w:val="Quotations"/>
        <w:spacing w:line="480" w:lineRule="auto"/>
        <w:ind w:left="1418"/>
        <w:rPr>
          <w:rFonts w:cs="Times New Roman"/>
        </w:rPr>
      </w:pPr>
      <w:r w:rsidRPr="00893A56">
        <w:rPr>
          <w:rFonts w:cs="Times New Roman"/>
        </w:rPr>
        <w:t>[F]irst, I describe a major metamorphosis of eighteenth-century titles, and try to explain its causes; next, I suggest how a new type of title that emerged around 1800 may have changed what readers expected of novels; and finally, I make a little attempt at quantitative stylistics, examining some strategies by which titles point to specific genres. Three sections, three pieces in the large puzzle of the literary field. (</w:t>
      </w:r>
      <w:r w:rsidRPr="00893A56">
        <w:rPr>
          <w:rStyle w:val="Emphasis"/>
          <w:rFonts w:cs="Times New Roman"/>
        </w:rPr>
        <w:t>Distant Reading</w:t>
      </w:r>
      <w:r w:rsidRPr="00893A56">
        <w:rPr>
          <w:rFonts w:cs="Times New Roman"/>
        </w:rPr>
        <w:t xml:space="preserve"> 181-2; emphasis mine)</w:t>
      </w:r>
    </w:p>
    <w:p w14:paraId="37F938D4" w14:textId="77777777" w:rsidR="007467AF" w:rsidRPr="00893A56" w:rsidRDefault="00000000" w:rsidP="00893A56">
      <w:pPr>
        <w:pStyle w:val="Textbody"/>
        <w:spacing w:line="480" w:lineRule="auto"/>
        <w:rPr>
          <w:rFonts w:cs="Times New Roman"/>
        </w:rPr>
      </w:pPr>
      <w:r w:rsidRPr="00893A56">
        <w:rPr>
          <w:rFonts w:cs="Times New Roman"/>
        </w:rPr>
        <w:t>Moretti's critical method involves posing hypotheses, assembling and analyzing data, making inferences, and occasionally, reframing the original hypotheses. Yet, he repeatedly understates his interpretive moves at each stage of his analysis: “try to explain,” “suggest,” “make a little attempt.” The diminutive language here not only belies the presumptions his arguments make, for example, that titles function as a proxy for market forces, "a code, in the market: half sign, half ad… where the novel as language meets the novel as community" (181). It also misrepresents the role that inferential thinking plays in the conclusions he draws:</w:t>
      </w:r>
    </w:p>
    <w:p w14:paraId="6F05DEE0" w14:textId="77777777" w:rsidR="007467AF" w:rsidRPr="00893A56" w:rsidRDefault="00000000" w:rsidP="00893A56">
      <w:pPr>
        <w:pStyle w:val="Quotations"/>
        <w:spacing w:line="480" w:lineRule="auto"/>
        <w:ind w:left="1418"/>
        <w:rPr>
          <w:rFonts w:cs="Times New Roman"/>
        </w:rPr>
      </w:pPr>
      <w:r w:rsidRPr="00893A56">
        <w:rPr>
          <w:rFonts w:cs="Times New Roman"/>
        </w:rPr>
        <w:t xml:space="preserve">As the market expands, titles contract; as they do that, they learn to compress meaning; and as they do </w:t>
      </w:r>
      <w:r w:rsidRPr="00893A56">
        <w:rPr>
          <w:rStyle w:val="Emphasis"/>
          <w:rFonts w:cs="Times New Roman"/>
        </w:rPr>
        <w:t>that</w:t>
      </w:r>
      <w:r w:rsidRPr="00893A56">
        <w:rPr>
          <w:rFonts w:cs="Times New Roman"/>
        </w:rPr>
        <w:t>, they develop special 'signals' to place books in the right market niche. (204)</w:t>
      </w:r>
    </w:p>
    <w:p w14:paraId="4F442A9D" w14:textId="77777777" w:rsidR="007467AF" w:rsidRPr="00893A56" w:rsidRDefault="00000000" w:rsidP="00893A56">
      <w:pPr>
        <w:pStyle w:val="Textbody"/>
        <w:spacing w:line="480" w:lineRule="auto"/>
        <w:rPr>
          <w:rFonts w:cs="Times New Roman"/>
        </w:rPr>
      </w:pPr>
      <w:r w:rsidRPr="00893A56">
        <w:rPr>
          <w:rFonts w:cs="Times New Roman"/>
        </w:rPr>
        <w:t xml:space="preserve">As Stephen Ramsay points out, Moretti presents his own insights as a description of reality, as if "data is presented to us… not as something that is also in need of interpretation" (Ramsay, </w:t>
      </w:r>
      <w:r w:rsidRPr="00893A56">
        <w:rPr>
          <w:rStyle w:val="Emphasis"/>
          <w:rFonts w:cs="Times New Roman"/>
        </w:rPr>
        <w:t>Reading Machines</w:t>
      </w:r>
      <w:r w:rsidRPr="00893A56">
        <w:rPr>
          <w:rFonts w:cs="Times New Roman"/>
        </w:rPr>
        <w:t xml:space="preserve"> 5). Moretti here performs an agential sleight-of-hand: diminishing his own interpretive </w:t>
      </w:r>
      <w:r w:rsidRPr="00893A56">
        <w:rPr>
          <w:rFonts w:cs="Times New Roman"/>
        </w:rPr>
        <w:lastRenderedPageBreak/>
        <w:t xml:space="preserve">role while amplifying the agency of inanimate phenomena like book titles. Titles may fluctuate, and as they do so, his analysis deftly shows, patterns emerge around the consolidation of nouns and adjectives. But they do not, on their own, </w:t>
      </w:r>
      <w:r w:rsidRPr="00893A56">
        <w:rPr>
          <w:rStyle w:val="Emphasis"/>
          <w:rFonts w:cs="Times New Roman"/>
        </w:rPr>
        <w:t>learn to compress meaning</w:t>
      </w:r>
      <w:r w:rsidRPr="00893A56">
        <w:rPr>
          <w:rFonts w:cs="Times New Roman"/>
        </w:rPr>
        <w:t xml:space="preserve"> or </w:t>
      </w:r>
      <w:r w:rsidRPr="00893A56">
        <w:rPr>
          <w:rStyle w:val="Emphasis"/>
          <w:rFonts w:cs="Times New Roman"/>
        </w:rPr>
        <w:t>develop special 'signals'</w:t>
      </w:r>
      <w:r w:rsidRPr="00893A56">
        <w:rPr>
          <w:rFonts w:cs="Times New Roman"/>
        </w:rPr>
        <w:t>.</w:t>
      </w:r>
    </w:p>
    <w:p w14:paraId="0523B0D1" w14:textId="77777777" w:rsidR="007467AF" w:rsidRPr="00893A56" w:rsidRDefault="00000000" w:rsidP="00893A56">
      <w:pPr>
        <w:pStyle w:val="Textbody"/>
        <w:spacing w:line="480" w:lineRule="auto"/>
        <w:rPr>
          <w:rFonts w:cs="Times New Roman"/>
        </w:rPr>
      </w:pPr>
      <w:r w:rsidRPr="00893A56">
        <w:rPr>
          <w:rFonts w:cs="Times New Roman"/>
        </w:rPr>
        <w:t>7</w:t>
      </w:r>
    </w:p>
    <w:p w14:paraId="4542E4FE" w14:textId="77777777" w:rsidR="007467AF" w:rsidRPr="00893A56" w:rsidRDefault="00000000" w:rsidP="00893A56">
      <w:pPr>
        <w:pStyle w:val="Textbody"/>
        <w:spacing w:line="480" w:lineRule="auto"/>
        <w:ind w:firstLine="567"/>
        <w:rPr>
          <w:rFonts w:cs="Times New Roman"/>
        </w:rPr>
      </w:pPr>
      <w:r w:rsidRPr="00893A56">
        <w:rPr>
          <w:rFonts w:cs="Times New Roman"/>
        </w:rPr>
        <w:t>Distant reading deliberately overlooks details which, as some have aptly pointed out, are actually necessary to cultural critique. Details of text would express what has been traditionally minimized or marginalized. In an MLA panel titled "Distant Reading After Moretti," Lauren Klein explains,</w:t>
      </w:r>
    </w:p>
    <w:p w14:paraId="3257BE6A" w14:textId="77777777" w:rsidR="007467AF" w:rsidRPr="00893A56" w:rsidRDefault="00000000" w:rsidP="00893A56">
      <w:pPr>
        <w:pStyle w:val="Quotations"/>
        <w:spacing w:line="480" w:lineRule="auto"/>
        <w:ind w:left="1418"/>
        <w:rPr>
          <w:rFonts w:cs="Times New Roman"/>
        </w:rPr>
      </w:pPr>
      <w:r w:rsidRPr="00893A56">
        <w:rPr>
          <w:rFonts w:cs="Times New Roman"/>
        </w:rPr>
        <w:t>[I]t’s not a coincidence that distant reading does not deal well with gender, or with sexuality, or with race. Gender and sexuality and race are precisely the sorts of concepts that have been exposed and interrogated by attending to non-dominant subject positions. And like literary world systems, or "the great unread," the problems associated with these concepts, like sexism or racism, are also problems of scale, but they require an increased attention to, rather than a passing over, of the subject positions that are too easily (if at times unwittingly) occluded when taking a distant view.</w:t>
      </w:r>
    </w:p>
    <w:p w14:paraId="6B30AFB0" w14:textId="77777777" w:rsidR="007467AF" w:rsidRPr="00893A56" w:rsidRDefault="00000000" w:rsidP="00893A56">
      <w:pPr>
        <w:pStyle w:val="Textbody"/>
        <w:spacing w:line="480" w:lineRule="auto"/>
        <w:rPr>
          <w:rFonts w:cs="Times New Roman"/>
        </w:rPr>
      </w:pPr>
      <w:r w:rsidRPr="00893A56">
        <w:rPr>
          <w:rFonts w:cs="Times New Roman"/>
        </w:rPr>
        <w:t>Klein's own incredible work surfacing these elements, for example, by tracing networks hidden within archival documents, proves how careful attention to what is minor or oblique can surface previously suppressed stories.</w:t>
      </w:r>
      <w:r w:rsidRPr="00893A56">
        <w:rPr>
          <w:rStyle w:val="FootnoteReference"/>
          <w:rFonts w:cs="Times New Roman"/>
        </w:rPr>
        <w:footnoteReference w:id="6"/>
      </w:r>
      <w:r w:rsidRPr="00893A56">
        <w:rPr>
          <w:rFonts w:cs="Times New Roman"/>
        </w:rPr>
        <w:t xml:space="preserve"> From the letters of a famous slaveholder, for example, Klein uses network analysis methods to bring forth the "ghost" of James Hemmings, an emancipated slave who figured in the correspondance. By marking up oblique references in the letters of his former master, Klein "render[s] visible the archival silences implicit in our understanding of chattel slavery today" </w:t>
      </w:r>
      <w:r w:rsidRPr="00893A56">
        <w:rPr>
          <w:rFonts w:cs="Times New Roman"/>
        </w:rPr>
        <w:lastRenderedPageBreak/>
        <w:t>(665). Her work demonstrates that the details of minority lives, which are deeply distributed in textual data, require a kind of reading that is not only close but also careful.</w:t>
      </w:r>
    </w:p>
    <w:p w14:paraId="45D0E235" w14:textId="77777777" w:rsidR="007467AF" w:rsidRPr="00893A56" w:rsidRDefault="00000000" w:rsidP="00893A56">
      <w:pPr>
        <w:pStyle w:val="Textbody"/>
        <w:spacing w:line="480" w:lineRule="auto"/>
        <w:rPr>
          <w:rFonts w:cs="Times New Roman"/>
        </w:rPr>
      </w:pPr>
      <w:r w:rsidRPr="00893A56">
        <w:rPr>
          <w:rFonts w:cs="Times New Roman"/>
        </w:rPr>
        <w:t>8</w:t>
      </w:r>
    </w:p>
    <w:p w14:paraId="7982DB0D" w14:textId="77777777" w:rsidR="007467AF" w:rsidRPr="00893A56" w:rsidRDefault="00000000" w:rsidP="00893A56">
      <w:pPr>
        <w:pStyle w:val="Textbody"/>
        <w:spacing w:line="480" w:lineRule="auto"/>
        <w:ind w:firstLine="709"/>
        <w:rPr>
          <w:rFonts w:cs="Times New Roman"/>
        </w:rPr>
      </w:pPr>
      <w:r w:rsidRPr="00893A56">
        <w:rPr>
          <w:rFonts w:cs="Times New Roman"/>
        </w:rPr>
        <w:t xml:space="preserve">Moretti says "we know how to read texts, now let's learn how </w:t>
      </w:r>
      <w:r w:rsidRPr="00893A56">
        <w:rPr>
          <w:rStyle w:val="Emphasis"/>
          <w:rFonts w:cs="Times New Roman"/>
        </w:rPr>
        <w:t>not</w:t>
      </w:r>
      <w:r w:rsidRPr="00893A56">
        <w:rPr>
          <w:rFonts w:cs="Times New Roman"/>
        </w:rPr>
        <w:t xml:space="preserve"> to read them" (</w:t>
      </w:r>
      <w:r w:rsidRPr="00893A56">
        <w:rPr>
          <w:rStyle w:val="Emphasis"/>
          <w:rFonts w:cs="Times New Roman"/>
        </w:rPr>
        <w:t>Distant Reading</w:t>
      </w:r>
      <w:r w:rsidRPr="00893A56">
        <w:rPr>
          <w:rFonts w:cs="Times New Roman"/>
        </w:rPr>
        <w:t xml:space="preserve"> 48). Perhaps, this ambition to grasp literary history is a kind of proxy for avoiding certain kinds of cultural critique. And this proxy functions through an amplification and valorization of what is seemingly objective–the counting of words. With word counts and their resulting graphs and charts doing the work of interpretation, one might finally </w:t>
      </w:r>
      <w:r w:rsidRPr="00893A56">
        <w:rPr>
          <w:rStyle w:val="Emphasis"/>
          <w:rFonts w:cs="Times New Roman"/>
        </w:rPr>
        <w:t>close down</w:t>
      </w:r>
      <w:r w:rsidRPr="00893A56">
        <w:rPr>
          <w:rFonts w:cs="Times New Roman"/>
        </w:rPr>
        <w:t xml:space="preserve"> close reading and the pesky critiques asssociated with it. One might finally approach a </w:t>
      </w:r>
      <w:r w:rsidRPr="00893A56">
        <w:rPr>
          <w:rStyle w:val="Emphasis"/>
          <w:rFonts w:cs="Times New Roman"/>
        </w:rPr>
        <w:t>falsifiable criticism</w:t>
      </w:r>
      <w:r w:rsidRPr="00893A56">
        <w:rPr>
          <w:rFonts w:cs="Times New Roman"/>
        </w:rPr>
        <w:t>, to be able to say once and for all that "the following interpretation is impossible for such and such a reason" (Moretti, “Soul” 22).</w:t>
      </w:r>
    </w:p>
    <w:p w14:paraId="2C1A6CB9" w14:textId="77777777" w:rsidR="007467AF" w:rsidRPr="00893A56" w:rsidRDefault="00000000" w:rsidP="00893A56">
      <w:pPr>
        <w:pStyle w:val="Textbody"/>
        <w:spacing w:line="480" w:lineRule="auto"/>
        <w:rPr>
          <w:rFonts w:cs="Times New Roman"/>
        </w:rPr>
      </w:pPr>
      <w:r w:rsidRPr="00893A56">
        <w:rPr>
          <w:rFonts w:cs="Times New Roman"/>
        </w:rPr>
        <w:t>9</w:t>
      </w:r>
    </w:p>
    <w:p w14:paraId="0CC9B75F" w14:textId="77777777" w:rsidR="007467AF" w:rsidRPr="00893A56" w:rsidRDefault="00000000" w:rsidP="00893A56">
      <w:pPr>
        <w:pStyle w:val="Textbody"/>
        <w:spacing w:line="480" w:lineRule="auto"/>
        <w:ind w:firstLine="709"/>
        <w:rPr>
          <w:rFonts w:cs="Times New Roman"/>
        </w:rPr>
      </w:pPr>
      <w:r w:rsidRPr="00893A56">
        <w:rPr>
          <w:rFonts w:cs="Times New Roman"/>
        </w:rPr>
        <w:t>This faith in the falsifiable–in the power of counting words–infects even those who disavow quantitative methods. In a detraction written by Nan Z. Da, which rallied the Computational Literary Studies debate when it was released in 2020,</w:t>
      </w:r>
      <w:r w:rsidRPr="00893A56">
        <w:rPr>
          <w:rStyle w:val="FootnoteReference"/>
          <w:rFonts w:cs="Times New Roman"/>
        </w:rPr>
        <w:footnoteReference w:id="7"/>
      </w:r>
      <w:r w:rsidRPr="00893A56">
        <w:rPr>
          <w:rFonts w:cs="Times New Roman"/>
        </w:rPr>
        <w:t xml:space="preserve"> Da vehemently opposes the use of quantification in critical interpretation. Da argues that quantitative methods, in fact, reveal a "fundamental mismatch between the statistical tools that are used and the objects to which they are applied"–that is, to literary objects (620, 601). She emphasizes her point by attempting to reproduce an experiment in "topic modeling," a machine learning method that generates a number of "topics," or keywords, from large collections of text. When she attempts to replicate a topic modeling experiment on her own computer, she produces different results.</w:t>
      </w:r>
    </w:p>
    <w:p w14:paraId="318C79E6" w14:textId="77777777" w:rsidR="007467AF" w:rsidRPr="00893A56" w:rsidRDefault="00000000" w:rsidP="00893A56">
      <w:pPr>
        <w:pStyle w:val="Textbody"/>
        <w:spacing w:line="480" w:lineRule="auto"/>
        <w:rPr>
          <w:rFonts w:cs="Times New Roman"/>
        </w:rPr>
      </w:pPr>
      <w:r w:rsidRPr="00893A56">
        <w:rPr>
          <w:rFonts w:cs="Times New Roman"/>
        </w:rPr>
        <w:t>10</w:t>
      </w:r>
    </w:p>
    <w:p w14:paraId="752D43D8" w14:textId="77777777" w:rsidR="007467AF" w:rsidRPr="00893A56" w:rsidRDefault="00000000" w:rsidP="00893A56">
      <w:pPr>
        <w:pStyle w:val="Textbody"/>
        <w:spacing w:line="480" w:lineRule="auto"/>
        <w:ind w:firstLine="709"/>
        <w:rPr>
          <w:rFonts w:cs="Times New Roman"/>
        </w:rPr>
      </w:pPr>
      <w:r w:rsidRPr="00893A56">
        <w:rPr>
          <w:rFonts w:cs="Times New Roman"/>
        </w:rPr>
        <w:lastRenderedPageBreak/>
        <w:t xml:space="preserve">Despite her oppositional stance toward quantitative tools, Da has something in common with those who champion them. She fundementally </w:t>
      </w:r>
      <w:r w:rsidRPr="00893A56">
        <w:rPr>
          <w:rStyle w:val="Emphasis"/>
          <w:rFonts w:cs="Times New Roman"/>
        </w:rPr>
        <w:t>agrees</w:t>
      </w:r>
      <w:r w:rsidRPr="00893A56">
        <w:rPr>
          <w:rFonts w:cs="Times New Roman"/>
        </w:rPr>
        <w:t xml:space="preserve"> about the objectivity of their procedures. As Ben Schmidt writes about Da's stance, “Far more than anyone I’ve seen in any humanities article, she asserts that scientists do something arcane, powerful, and true" (Schmidt, "A computational critique of a computational critique of computational critique."). Despite their vastly different views on the role of quantitative methods for studying literature, Da and Moretti appear to agree that these methods ought to provide results that are, at the very least, reproducible.</w:t>
      </w:r>
    </w:p>
    <w:p w14:paraId="6490A6C2" w14:textId="77777777" w:rsidR="007467AF" w:rsidRPr="00893A56" w:rsidRDefault="00000000" w:rsidP="00893A56">
      <w:pPr>
        <w:pStyle w:val="Textbody"/>
        <w:spacing w:line="480" w:lineRule="auto"/>
        <w:rPr>
          <w:rFonts w:cs="Times New Roman"/>
        </w:rPr>
      </w:pPr>
      <w:r w:rsidRPr="00893A56">
        <w:rPr>
          <w:rFonts w:cs="Times New Roman"/>
        </w:rPr>
        <w:t>11</w:t>
      </w:r>
    </w:p>
    <w:p w14:paraId="1C5A52E5" w14:textId="77777777" w:rsidR="007467AF" w:rsidRPr="00893A56" w:rsidRDefault="00000000" w:rsidP="00893A56">
      <w:pPr>
        <w:pStyle w:val="Textbody"/>
        <w:spacing w:line="480" w:lineRule="auto"/>
        <w:ind w:firstLine="709"/>
        <w:rPr>
          <w:rFonts w:cs="Times New Roman"/>
        </w:rPr>
      </w:pPr>
      <w:r w:rsidRPr="00893A56">
        <w:rPr>
          <w:rFonts w:cs="Times New Roman"/>
        </w:rPr>
        <w:t xml:space="preserve">There are those who disagree about the apparent objectivity of reproducible methods. Ted Underwood, for example, explains that "algorithms are actually bad at being objective and rather good at absorbing human perspectives implicit in the evidence used to train them" (“Machine Learning and Human Perspective” 92). Underwood creates what he calls "perspectival models" of literary data, where models representing different "perspectives." In one project, on studying gender in novels, Underwood uses a binary classification algorithm to cluster terms that male and female writers tend to associate with either gender. From the results, he creates a chart which visualizes the differences between male and female writers and their treatment of gender. In this chart (see Fig. 1), there are two diagonals. The diagonal moving from the bottom-left to top-right corner represents where the genders agree on gendered terms. The bottom-left shows agreement on terms used to describe the male gender ("pocket", "grinned"), and the top-right shows agreement on the female gender ("eyes," "mother"). The opposite diagonal, running from the top-left to bottom-right corners, shows disagreement. The top-left shows terms that each gender tends to use to describe their own gender ("wondered", "mind") and the bottom-right shows terms that each gender uses to describe the opposite gender ("meant", "kissed"). The chart, according to Underwood, shows two </w:t>
      </w:r>
      <w:r w:rsidRPr="00893A56">
        <w:rPr>
          <w:rStyle w:val="Emphasis"/>
          <w:rFonts w:cs="Times New Roman"/>
        </w:rPr>
        <w:t>perspectives</w:t>
      </w:r>
      <w:r w:rsidRPr="00893A56">
        <w:rPr>
          <w:rFonts w:cs="Times New Roman"/>
        </w:rPr>
        <w:t xml:space="preserve"> on gender–the male and the female. Rather than making claims to gender in an objective sense, it dramatizes a perspectival shift between the two gender.</w:t>
      </w:r>
    </w:p>
    <w:p w14:paraId="502ADCAE" w14:textId="77777777" w:rsidR="007467AF" w:rsidRPr="00893A56" w:rsidRDefault="00000000" w:rsidP="00893A56">
      <w:pPr>
        <w:pStyle w:val="Textbody"/>
        <w:spacing w:line="480" w:lineRule="auto"/>
        <w:rPr>
          <w:rFonts w:cs="Times New Roman"/>
        </w:rPr>
      </w:pPr>
      <w:r w:rsidRPr="00893A56">
        <w:rPr>
          <w:rFonts w:cs="Times New Roman"/>
        </w:rPr>
        <w:lastRenderedPageBreak/>
        <w:t>12</w:t>
      </w:r>
    </w:p>
    <w:p w14:paraId="1760CF9D" w14:textId="77777777" w:rsidR="007467AF" w:rsidRPr="00893A56" w:rsidRDefault="00000000" w:rsidP="00893A56">
      <w:pPr>
        <w:pStyle w:val="Textbody"/>
        <w:spacing w:line="480" w:lineRule="auto"/>
        <w:ind w:firstLine="709"/>
        <w:rPr>
          <w:rFonts w:cs="Times New Roman"/>
        </w:rPr>
      </w:pPr>
      <w:r w:rsidRPr="00893A56">
        <w:rPr>
          <w:rFonts w:cs="Times New Roman"/>
        </w:rPr>
        <w:t xml:space="preserve">Unfortunately, Underwood's methodology, as he himself admits, reincribes the gender binary. This happens not only in the choice of model, a binary classification model which makes predictions on a yes/no or, in this case, a male/femal scale (predicting whether a term will be more associated with a male or a female gender)/. It also happens with the choice in visualizing the results in a way that places male and female genders in opposition. The diagonal going from the bottom-left to the top-right, which finds similarity between the genders, reinforces a stereotypical active/passive binary (among other binaries) between men and women. Similarly, the diagonal going from the top-left to the bottom-right, although based on agreement between the genders and their relationships to themselves, nonetheless imposes an </w:t>
      </w:r>
      <w:r w:rsidRPr="00893A56">
        <w:rPr>
          <w:rStyle w:val="Emphasis"/>
          <w:rFonts w:cs="Times New Roman"/>
        </w:rPr>
        <w:t>opposition</w:t>
      </w:r>
      <w:r w:rsidRPr="00893A56">
        <w:rPr>
          <w:rFonts w:cs="Times New Roman"/>
        </w:rPr>
        <w:t xml:space="preserve"> between how male and female authors describe each other. The graph effectively instantiates its implicit assumption that male and female writers will oppose the other by visualizing this as a feature.</w:t>
      </w:r>
    </w:p>
    <w:p w14:paraId="780969B0" w14:textId="77777777" w:rsidR="007467AF" w:rsidRPr="00893A56" w:rsidRDefault="00000000" w:rsidP="00893A56">
      <w:pPr>
        <w:pStyle w:val="Textbody"/>
        <w:spacing w:line="480" w:lineRule="auto"/>
        <w:ind w:firstLine="709"/>
        <w:rPr>
          <w:rFonts w:cs="Times New Roman"/>
        </w:rPr>
      </w:pPr>
      <w:r w:rsidRPr="00893A56">
        <w:rPr>
          <w:rFonts w:cs="Times New Roman"/>
        </w:rPr>
        <w:t xml:space="preserve">Not only does the diagram reify the gender binary, it effectively uses the gender binary </w:t>
      </w:r>
      <w:r w:rsidRPr="00893A56">
        <w:rPr>
          <w:rStyle w:val="Emphasis"/>
          <w:rFonts w:cs="Times New Roman"/>
        </w:rPr>
        <w:t>as a model</w:t>
      </w:r>
      <w:r w:rsidRPr="00893A56">
        <w:rPr>
          <w:rFonts w:cs="Times New Roman"/>
        </w:rPr>
        <w:t xml:space="preserve"> for proving the value of quantitative methods. This is an effective reversal of how data and model are supposed to work in support of each other. When explaining the diagram, Underwood says that "gender theorists will be frustrated by the binary structure of the diagram… I needed a simple picture, frankly, in order to explain how a quantitative model can be said to represent a perspective" (“Machine Learning and Human Perspective” 98). However, the "perspective" which he represents is one where the two genders are already diametrically opposed. The gender binary is a necessary presumption in order for the experiment to take place–a prior binary that then makes the choice of a binary-structured model appear appropriate. For his his diagram to work, gender roles must have been already manufactured into opposition. In other words, binary gender is the model through which his argument about perspectival modeling can make sense.</w:t>
      </w:r>
    </w:p>
    <w:p w14:paraId="1C2872DC" w14:textId="77777777" w:rsidR="007467AF" w:rsidRPr="00893A56" w:rsidRDefault="00000000" w:rsidP="00893A56">
      <w:pPr>
        <w:pStyle w:val="Textbody"/>
        <w:spacing w:line="480" w:lineRule="auto"/>
        <w:rPr>
          <w:rFonts w:cs="Times New Roman"/>
        </w:rPr>
      </w:pPr>
      <w:r w:rsidRPr="00893A56">
        <w:rPr>
          <w:rFonts w:cs="Times New Roman"/>
        </w:rPr>
        <w:t>13</w:t>
      </w:r>
    </w:p>
    <w:p w14:paraId="56CB2761" w14:textId="77777777" w:rsidR="007467AF" w:rsidRPr="00893A56" w:rsidRDefault="00000000" w:rsidP="00893A56">
      <w:pPr>
        <w:pStyle w:val="Textbody"/>
        <w:spacing w:line="480" w:lineRule="auto"/>
        <w:ind w:firstLine="709"/>
        <w:rPr>
          <w:rFonts w:cs="Times New Roman"/>
        </w:rPr>
      </w:pPr>
      <w:r w:rsidRPr="00893A56">
        <w:rPr>
          <w:rFonts w:cs="Times New Roman"/>
        </w:rPr>
        <w:t xml:space="preserve">There are valid and even provocative reasons to study gender as a binary system. But the </w:t>
      </w:r>
      <w:r w:rsidRPr="00893A56">
        <w:rPr>
          <w:rFonts w:cs="Times New Roman"/>
        </w:rPr>
        <w:lastRenderedPageBreak/>
        <w:t xml:space="preserve">questions that drive such experiments must be differently derived. Questions like "how to distinguish one gender from another gender" effectively reify existing structures of the binary. Alternatively, other work uses text analysis to </w:t>
      </w:r>
      <w:r w:rsidRPr="00893A56">
        <w:rPr>
          <w:rStyle w:val="Emphasis"/>
          <w:rFonts w:cs="Times New Roman"/>
        </w:rPr>
        <w:t>deconstruct</w:t>
      </w:r>
      <w:r w:rsidRPr="00893A56">
        <w:rPr>
          <w:rFonts w:cs="Times New Roman"/>
        </w:rPr>
        <w:t xml:space="preserve"> social categories. In their introduction to The Journal for </w:t>
      </w:r>
      <w:r w:rsidRPr="00893A56">
        <w:rPr>
          <w:rStyle w:val="Emphasis"/>
          <w:rFonts w:cs="Times New Roman"/>
        </w:rPr>
        <w:t>Cultural Analytics</w:t>
      </w:r>
      <w:r w:rsidRPr="00893A56">
        <w:rPr>
          <w:rFonts w:cs="Times New Roman"/>
        </w:rPr>
        <w:t>'s “Identity Issue,” Susan Brown and Laura Mandell explain that, “The goal is to acknowledge the subjective effects of belonging to an identity constituted historically through oppression without believing that the identity itself exists independently from historical conditions” (6).</w:t>
      </w:r>
    </w:p>
    <w:p w14:paraId="4AB29CB0" w14:textId="77777777" w:rsidR="007467AF" w:rsidRPr="00893A56" w:rsidRDefault="00000000" w:rsidP="00893A56">
      <w:pPr>
        <w:pStyle w:val="Textbody"/>
        <w:spacing w:line="480" w:lineRule="auto"/>
        <w:rPr>
          <w:rFonts w:cs="Times New Roman"/>
        </w:rPr>
      </w:pPr>
      <w:r w:rsidRPr="00893A56">
        <w:rPr>
          <w:rFonts w:cs="Times New Roman"/>
        </w:rPr>
        <w:t>14</w:t>
      </w:r>
    </w:p>
    <w:p w14:paraId="4131EDB8" w14:textId="77777777" w:rsidR="007467AF" w:rsidRPr="00893A56" w:rsidRDefault="00000000" w:rsidP="00893A56">
      <w:pPr>
        <w:pStyle w:val="Textbody"/>
        <w:spacing w:line="480" w:lineRule="auto"/>
        <w:ind w:firstLine="709"/>
        <w:rPr>
          <w:rFonts w:cs="Times New Roman"/>
        </w:rPr>
      </w:pPr>
      <w:r w:rsidRPr="00893A56">
        <w:rPr>
          <w:rFonts w:cs="Times New Roman"/>
        </w:rPr>
        <w:t>For example, Laura Mandell study gender through genre. Mandell deploys the popular stylometry measurement, “Burrow’s Delta,” which visualizes the “distance” between writing styles by creating branches ("deltas") between different texts. She finds that Mary Wollstonecraft's style is shared across comparable male writers like William Godwin and Samuel Johnson: “Wollstonecraft’s sentimental anti-Jacobin novels most resemble Godwin’s sentimental anti-Jacobin novels… whereas her essays most resemble Johnson’s writings” ("Gender and Cultural Analytics:: Finding or Making Stereotypes?" par. 29). Her analysis creates new categories that draw gender into genre–squaring the gender binary. She creates doubly refracted categories like, "men writing as men," "women writing as women," "women writing as men," "men writing as women" (par. 35).</w:t>
      </w:r>
    </w:p>
    <w:p w14:paraId="33798742" w14:textId="77777777" w:rsidR="007467AF" w:rsidRPr="00893A56" w:rsidRDefault="00000000" w:rsidP="00893A56">
      <w:pPr>
        <w:pStyle w:val="Textbody"/>
        <w:spacing w:line="480" w:lineRule="auto"/>
        <w:rPr>
          <w:rFonts w:cs="Times New Roman"/>
        </w:rPr>
      </w:pPr>
      <w:r w:rsidRPr="00893A56">
        <w:rPr>
          <w:rFonts w:cs="Times New Roman"/>
        </w:rPr>
        <w:t>15</w:t>
      </w:r>
    </w:p>
    <w:p w14:paraId="5846B987" w14:textId="77777777" w:rsidR="007467AF" w:rsidRPr="00893A56" w:rsidRDefault="00000000" w:rsidP="00893A56">
      <w:pPr>
        <w:pStyle w:val="Textbody"/>
        <w:spacing w:line="480" w:lineRule="auto"/>
        <w:ind w:firstLine="709"/>
        <w:rPr>
          <w:rFonts w:cs="Times New Roman"/>
        </w:rPr>
      </w:pPr>
      <w:r w:rsidRPr="00893A56">
        <w:rPr>
          <w:rFonts w:cs="Times New Roman"/>
        </w:rPr>
        <w:t xml:space="preserve">When using reproducible tools, it bears asking what is being reproduced. Applying text analysis to racial categories, Edwin Roland and Richard Jean So explore whether a machine can correctly identify the race of a novel's author. They point, they are careful to say, is not to test whether the machine is correct, but to examine how the categories themselves are constructed. As they explain, "the machine simply measures the robustness of the social constructedness of these given categories and points out what gives them such vigor" ("Race and Distant Reading" 69). Analyzing a large corpus of novels by white and black authors, So and Roland find that black </w:t>
      </w:r>
      <w:r w:rsidRPr="00893A56">
        <w:rPr>
          <w:rFonts w:cs="Times New Roman"/>
        </w:rPr>
        <w:lastRenderedPageBreak/>
        <w:t>authors generally display more varied vocabulary than white authors. From this result, they infer that White authorship, as a category, only coheres against the variance of Black authorship. That is, because White authorship is only visible as a category when it is compared to Black authorship, which displays overall more varied uses of language forms.</w:t>
      </w:r>
    </w:p>
    <w:p w14:paraId="2C4865FB" w14:textId="77777777" w:rsidR="007467AF" w:rsidRPr="00893A56" w:rsidRDefault="00000000" w:rsidP="00893A56">
      <w:pPr>
        <w:pStyle w:val="Textbody"/>
        <w:spacing w:line="480" w:lineRule="auto"/>
        <w:ind w:firstLine="709"/>
        <w:rPr>
          <w:rFonts w:cs="Times New Roman"/>
        </w:rPr>
      </w:pPr>
      <w:r w:rsidRPr="00893A56">
        <w:rPr>
          <w:rFonts w:cs="Times New Roman"/>
        </w:rPr>
        <w:t xml:space="preserve">Interestingly, this quantitative exercise points Roland and So toward a peculiarity in the results: that the algorithm wrongly categorizes Black-authored novel, James Baldwin's </w:t>
      </w:r>
      <w:r w:rsidRPr="00893A56">
        <w:rPr>
          <w:rStyle w:val="Emphasis"/>
          <w:rFonts w:cs="Times New Roman"/>
        </w:rPr>
        <w:t>Giovanni’s Room</w:t>
      </w:r>
      <w:r w:rsidRPr="00893A56">
        <w:rPr>
          <w:rFonts w:cs="Times New Roman"/>
        </w:rPr>
        <w:t xml:space="preserve"> (1956), as being written by a White author. This misclassification is due to a single word–"appalled"–whose usage, according to the model, has generally been a signal of White authorship. The term only occurs once in the text, in an early scene where the narrator David describes his strained relationship to his father: “I did not want to be his buddy. I wanted to be his son. What passed between us as masculine candor exhausted and appalled me” (Rpt. in Roland, So 71; emphasis mine). Given the connotation of whiteness in "appalled" and its middle French root, “apalir” (to grow pale), Roland and So explain that this term–which emerged as a result of the computer's mistake–enables their analysis to coordinate gender to race: “the moment David develops a troubled relationship to normative masculinity [as] also the moment he becomes ‘White’” (71). Rather than reify racial categories, this computational experiment points out that they are constructed on flimsy terms.</w:t>
      </w:r>
    </w:p>
    <w:p w14:paraId="707D2446" w14:textId="77777777" w:rsidR="007467AF" w:rsidRPr="00893A56" w:rsidRDefault="00000000" w:rsidP="00893A56">
      <w:pPr>
        <w:pStyle w:val="Textbody"/>
        <w:spacing w:line="480" w:lineRule="auto"/>
        <w:rPr>
          <w:rFonts w:cs="Times New Roman"/>
        </w:rPr>
      </w:pPr>
      <w:r w:rsidRPr="00893A56">
        <w:rPr>
          <w:rFonts w:cs="Times New Roman"/>
        </w:rPr>
        <w:t>16</w:t>
      </w:r>
    </w:p>
    <w:p w14:paraId="0BE58652" w14:textId="77777777" w:rsidR="007467AF" w:rsidRPr="00893A56" w:rsidRDefault="00000000" w:rsidP="00893A56">
      <w:pPr>
        <w:pStyle w:val="Textbody"/>
        <w:spacing w:line="480" w:lineRule="auto"/>
        <w:ind w:firstLine="709"/>
        <w:rPr>
          <w:rFonts w:cs="Times New Roman"/>
        </w:rPr>
      </w:pPr>
      <w:r w:rsidRPr="00893A56">
        <w:rPr>
          <w:rFonts w:cs="Times New Roman"/>
        </w:rPr>
        <w:t xml:space="preserve">So and Roland began with the binary form, the binary categories of Black/White, but they ended with its fracturing. This fracturing, evident in the computer's misclassification of authorship in </w:t>
      </w:r>
      <w:r w:rsidRPr="00893A56">
        <w:rPr>
          <w:rStyle w:val="Emphasis"/>
          <w:rFonts w:cs="Times New Roman"/>
        </w:rPr>
        <w:t>Giovanni's Room</w:t>
      </w:r>
      <w:r w:rsidRPr="00893A56">
        <w:rPr>
          <w:rFonts w:cs="Times New Roman"/>
        </w:rPr>
        <w:t>, leads to a reading which coordinates race with gender and sexuality. This "queering the machine’s color line," the authors explain, opens up new readings of intersectionality in the novel which "in their current form, our data and model are not robust enough to handle" (72).</w:t>
      </w:r>
    </w:p>
    <w:p w14:paraId="7F5EB90C" w14:textId="7A51F521" w:rsidR="007467AF" w:rsidRPr="00893A56" w:rsidRDefault="00000000" w:rsidP="00893A56">
      <w:pPr>
        <w:pStyle w:val="Textbody"/>
        <w:spacing w:line="480" w:lineRule="auto"/>
        <w:rPr>
          <w:rFonts w:cs="Times New Roman"/>
        </w:rPr>
      </w:pPr>
      <w:r w:rsidRPr="00893A56">
        <w:rPr>
          <w:rFonts w:cs="Times New Roman"/>
        </w:rPr>
        <w:t xml:space="preserve">Rather than reproducible, this method is </w:t>
      </w:r>
      <w:r w:rsidRPr="00893A56">
        <w:rPr>
          <w:rStyle w:val="Emphasis"/>
          <w:rFonts w:cs="Times New Roman"/>
        </w:rPr>
        <w:t>refractive</w:t>
      </w:r>
      <w:r w:rsidRPr="00893A56">
        <w:rPr>
          <w:rFonts w:cs="Times New Roman"/>
        </w:rPr>
        <w:t xml:space="preserve">, </w:t>
      </w:r>
      <w:r w:rsidR="00D76227" w:rsidRPr="00893A56">
        <w:rPr>
          <w:rFonts w:cs="Times New Roman"/>
        </w:rPr>
        <w:t>reflecting</w:t>
      </w:r>
      <w:r w:rsidRPr="00893A56">
        <w:rPr>
          <w:rFonts w:cs="Times New Roman"/>
        </w:rPr>
        <w:t xml:space="preserve"> (and corrupting) the constructed nature of binary structures back at the critic. This method, as I explain in the next section, takes an </w:t>
      </w:r>
      <w:r w:rsidRPr="00893A56">
        <w:rPr>
          <w:rStyle w:val="Emphasis"/>
          <w:rFonts w:cs="Times New Roman"/>
        </w:rPr>
        <w:lastRenderedPageBreak/>
        <w:t>iterative</w:t>
      </w:r>
      <w:r w:rsidRPr="00893A56">
        <w:rPr>
          <w:rFonts w:cs="Times New Roman"/>
        </w:rPr>
        <w:t xml:space="preserve"> stance toward gender forms in literary data.</w:t>
      </w:r>
    </w:p>
    <w:sectPr w:rsidR="007467AF" w:rsidRPr="00893A56">
      <w:footerReference w:type="default" r:id="rId7"/>
      <w:pgSz w:w="11906" w:h="16838"/>
      <w:pgMar w:top="1134" w:right="1134" w:bottom="1474" w:left="1134"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1EDEC" w14:textId="77777777" w:rsidR="007E17F5" w:rsidRDefault="007E17F5">
      <w:r>
        <w:separator/>
      </w:r>
    </w:p>
  </w:endnote>
  <w:endnote w:type="continuationSeparator" w:id="0">
    <w:p w14:paraId="123F0C41" w14:textId="77777777" w:rsidR="007E17F5" w:rsidRDefault="007E1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DC371" w14:textId="77777777" w:rsidR="00000000" w:rsidRDefault="00000000">
    <w:pPr>
      <w:jc w:val="center"/>
    </w:pPr>
    <w:r>
      <w:fldChar w:fldCharType="begin"/>
    </w:r>
    <w:r>
      <w:instrText xml:space="preserve"> PAGE </w:instrText>
    </w:r>
    <w:r>
      <w:fldChar w:fldCharType="separate"/>
    </w:r>
    <w:r w:rsidR="00893A5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B729D" w14:textId="77777777" w:rsidR="007E17F5" w:rsidRDefault="007E17F5">
      <w:r>
        <w:rPr>
          <w:color w:val="000000"/>
        </w:rPr>
        <w:separator/>
      </w:r>
    </w:p>
  </w:footnote>
  <w:footnote w:type="continuationSeparator" w:id="0">
    <w:p w14:paraId="2FA247A2" w14:textId="77777777" w:rsidR="007E17F5" w:rsidRDefault="007E17F5">
      <w:r>
        <w:continuationSeparator/>
      </w:r>
    </w:p>
  </w:footnote>
  <w:footnote w:id="1">
    <w:p w14:paraId="757CDF50" w14:textId="77777777" w:rsidR="007467AF" w:rsidRDefault="00000000">
      <w:pPr>
        <w:pStyle w:val="Footnote"/>
      </w:pPr>
      <w:r>
        <w:rPr>
          <w:rStyle w:val="FootnoteReference"/>
        </w:rPr>
        <w:footnoteRef/>
      </w:r>
      <w:r>
        <w:t>Criticism of the novel about gender and story.</w:t>
      </w:r>
    </w:p>
    <w:p w14:paraId="52900655" w14:textId="77777777" w:rsidR="00000000" w:rsidRDefault="00000000"/>
  </w:footnote>
  <w:footnote w:id="2">
    <w:p w14:paraId="7A4FD7E5" w14:textId="77777777" w:rsidR="007467AF" w:rsidRDefault="00000000">
      <w:pPr>
        <w:pStyle w:val="Footnote"/>
      </w:pPr>
      <w:r>
        <w:rPr>
          <w:rStyle w:val="FootnoteReference"/>
        </w:rPr>
        <w:footnoteRef/>
      </w:r>
      <w:r>
        <w:t xml:space="preserve">Roberto Busa, a Jesuit priest to hand-coded a concordance to Thomas Acquinas works, is a common choice. See Stephen Ramsay, </w:t>
      </w:r>
      <w:r>
        <w:rPr>
          <w:rStyle w:val="Emphasis"/>
        </w:rPr>
        <w:t>Thinking Machines</w:t>
      </w:r>
      <w:r>
        <w:t>.</w:t>
      </w:r>
    </w:p>
    <w:p w14:paraId="641A7768" w14:textId="77777777" w:rsidR="00000000" w:rsidRDefault="00000000"/>
  </w:footnote>
  <w:footnote w:id="3">
    <w:p w14:paraId="6663BD5A" w14:textId="77777777" w:rsidR="007467AF" w:rsidRDefault="00000000">
      <w:pPr>
        <w:pStyle w:val="Footnote"/>
      </w:pPr>
      <w:r>
        <w:rPr>
          <w:rStyle w:val="FootnoteReference"/>
        </w:rPr>
        <w:footnoteRef/>
      </w:r>
      <w:r>
        <w:t>Matthew Jockers; Ted Underwood.</w:t>
      </w:r>
    </w:p>
    <w:p w14:paraId="1B64071B" w14:textId="77777777" w:rsidR="00000000" w:rsidRDefault="00000000"/>
  </w:footnote>
  <w:footnote w:id="4">
    <w:p w14:paraId="67714F61" w14:textId="77777777" w:rsidR="007467AF" w:rsidRDefault="00000000">
      <w:pPr>
        <w:pStyle w:val="Footnote"/>
      </w:pPr>
      <w:r>
        <w:rPr>
          <w:rStyle w:val="FootnoteReference"/>
        </w:rPr>
        <w:footnoteRef/>
      </w:r>
      <w:r>
        <w:t xml:space="preserve">Sarah Cohen-Boulakia, Khalid Belhajjame, Olivier Collin, Jérôme Chopard, Christine Froidevaux, Alban Gaignard, Konrad Hinsen, Pierre Larmande, Yvan Le Bras, Frédéric Lemoine, Fabien Mareuil, Hervé Ménager, Christophe Pradal, Christophe Blanchet, Scientific workflows for computational reproducibility in the life sciences: Status, challenges and opportunities, Future Generation Computer Systems, Volume 75, 2017, Pages 284-298, ISSN 0167-739X </w:t>
      </w:r>
      <w:hyperlink r:id="rId1" w:history="1">
        <w:r>
          <w:t>https://doi.org/10.1016/j.future.2017.01.012</w:t>
        </w:r>
      </w:hyperlink>
      <w:r>
        <w:t>.</w:t>
      </w:r>
    </w:p>
    <w:p w14:paraId="00FF1B67" w14:textId="77777777" w:rsidR="00000000" w:rsidRDefault="00000000"/>
  </w:footnote>
  <w:footnote w:id="5">
    <w:p w14:paraId="55CAE5C1" w14:textId="77777777" w:rsidR="007467AF" w:rsidRDefault="00000000">
      <w:pPr>
        <w:pStyle w:val="Footnote"/>
      </w:pPr>
      <w:r>
        <w:rPr>
          <w:rStyle w:val="FootnoteReference"/>
        </w:rPr>
        <w:footnoteRef/>
      </w:r>
      <w:r>
        <w:t>Reproducibility and transparency: what's going on and how can we help. Nat Commun. 2025 Jan 27;16(1):1082. doi: 10.1038/s41467-024-54614-2. PMID: 39870612; PMCID: PMC11772749.</w:t>
      </w:r>
    </w:p>
    <w:p w14:paraId="63DD04D0" w14:textId="77777777" w:rsidR="00000000" w:rsidRDefault="00000000"/>
  </w:footnote>
  <w:footnote w:id="6">
    <w:p w14:paraId="310E93DA" w14:textId="77777777" w:rsidR="007467AF" w:rsidRDefault="00000000">
      <w:pPr>
        <w:pStyle w:val="Footnote"/>
      </w:pPr>
      <w:r>
        <w:rPr>
          <w:rStyle w:val="FootnoteReference"/>
        </w:rPr>
        <w:footnoteRef/>
      </w:r>
      <w:r>
        <w:t xml:space="preserve">Klein, Lauren F., "The Image of Absence: Archival Silence, Data Visualization, and James Hemings," in </w:t>
      </w:r>
      <w:r>
        <w:rPr>
          <w:rStyle w:val="Emphasis"/>
        </w:rPr>
        <w:t>American Literature</w:t>
      </w:r>
      <w:r>
        <w:t>, 85 (4): 661–688, 2013.</w:t>
      </w:r>
    </w:p>
    <w:p w14:paraId="174AE871" w14:textId="77777777" w:rsidR="00000000" w:rsidRDefault="00000000"/>
  </w:footnote>
  <w:footnote w:id="7">
    <w:p w14:paraId="2FC3ED26" w14:textId="77777777" w:rsidR="007467AF" w:rsidRDefault="00000000">
      <w:pPr>
        <w:pStyle w:val="Footnote"/>
      </w:pPr>
      <w:r>
        <w:rPr>
          <w:rStyle w:val="FootnoteReference"/>
        </w:rPr>
        <w:footnoteRef/>
      </w:r>
      <w:r>
        <w:t>At the time of its release, Da's article stoked many responses from literary scholars involved in text analysis. See Bode, "What’s the Matter with Computational Literary Studies?"</w:t>
      </w:r>
    </w:p>
    <w:p w14:paraId="0A6DAA31" w14:textId="77777777" w:rsidR="00000000" w:rsidRDefault="0000000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0C5"/>
    <w:multiLevelType w:val="multilevel"/>
    <w:tmpl w:val="67E0929E"/>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F7359A1"/>
    <w:multiLevelType w:val="multilevel"/>
    <w:tmpl w:val="7D103634"/>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abstractNum w:abstractNumId="2" w15:restartNumberingAfterBreak="0">
    <w:nsid w:val="18940AB3"/>
    <w:multiLevelType w:val="multilevel"/>
    <w:tmpl w:val="5A2CCFD4"/>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3" w15:restartNumberingAfterBreak="0">
    <w:nsid w:val="2BD41A18"/>
    <w:multiLevelType w:val="multilevel"/>
    <w:tmpl w:val="629EA83C"/>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4" w15:restartNumberingAfterBreak="0">
    <w:nsid w:val="4F7C1BF4"/>
    <w:multiLevelType w:val="multilevel"/>
    <w:tmpl w:val="257ECF5A"/>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5" w15:restartNumberingAfterBreak="0">
    <w:nsid w:val="695E0457"/>
    <w:multiLevelType w:val="multilevel"/>
    <w:tmpl w:val="7D4EB4D2"/>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6" w15:restartNumberingAfterBreak="0">
    <w:nsid w:val="79BD12F6"/>
    <w:multiLevelType w:val="multilevel"/>
    <w:tmpl w:val="5BDA4966"/>
    <w:styleLink w:val="Org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pStyle w:val="Heading6"/>
      <w:lvlText w:val="%1.%2.%3.%4.%5.%6. "/>
      <w:lvlJc w:val="left"/>
      <w:pPr>
        <w:ind w:left="1152" w:hanging="1152"/>
      </w:pPr>
    </w:lvl>
    <w:lvl w:ilvl="6">
      <w:start w:val="1"/>
      <w:numFmt w:val="decimal"/>
      <w:pStyle w:val="Heading7"/>
      <w:lvlText w:val="%1.%2.%3.%4.%5.%6.%7. "/>
      <w:lvlJc w:val="left"/>
      <w:pPr>
        <w:ind w:left="1296" w:hanging="1296"/>
      </w:pPr>
    </w:lvl>
    <w:lvl w:ilvl="7">
      <w:start w:val="1"/>
      <w:numFmt w:val="decimal"/>
      <w:pStyle w:val="Heading8"/>
      <w:lvlText w:val="%1.%2.%3.%4.%5.%6.%7.%8. "/>
      <w:lvlJc w:val="left"/>
      <w:pPr>
        <w:ind w:left="1440" w:hanging="1440"/>
      </w:pPr>
    </w:lvl>
    <w:lvl w:ilvl="8">
      <w:start w:val="1"/>
      <w:numFmt w:val="decimal"/>
      <w:pStyle w:val="Heading9"/>
      <w:lvlText w:val="%1.%2.%3.%4.%5.%6.%7.%8.%9. "/>
      <w:lvlJc w:val="left"/>
      <w:pPr>
        <w:ind w:left="1584" w:hanging="1584"/>
      </w:pPr>
    </w:lvl>
  </w:abstractNum>
  <w:num w:numId="1" w16cid:durableId="660741936">
    <w:abstractNumId w:val="6"/>
  </w:num>
  <w:num w:numId="2" w16cid:durableId="1024525741">
    <w:abstractNumId w:val="3"/>
  </w:num>
  <w:num w:numId="3" w16cid:durableId="1168253927">
    <w:abstractNumId w:val="5"/>
  </w:num>
  <w:num w:numId="4" w16cid:durableId="214004348">
    <w:abstractNumId w:val="0"/>
  </w:num>
  <w:num w:numId="5" w16cid:durableId="567417797">
    <w:abstractNumId w:val="4"/>
  </w:num>
  <w:num w:numId="6" w16cid:durableId="1482582536">
    <w:abstractNumId w:val="2"/>
  </w:num>
  <w:num w:numId="7" w16cid:durableId="19838024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7467AF"/>
    <w:rsid w:val="007467AF"/>
    <w:rsid w:val="007E17F5"/>
    <w:rsid w:val="00893A56"/>
    <w:rsid w:val="00B76A0C"/>
    <w:rsid w:val="00D762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70089D5"/>
  <w15:docId w15:val="{3D582ADF-6D2C-FF4C-8257-BEF8E1BCA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ahoma"/>
        <w:kern w:val="3"/>
        <w:sz w:val="24"/>
        <w:szCs w:val="24"/>
        <w:lang w:val="en-GB"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numPr>
        <w:numId w:val="1"/>
      </w:numPr>
      <w:outlineLvl w:val="0"/>
    </w:pPr>
    <w:rPr>
      <w:b/>
      <w:bCs/>
    </w:rPr>
  </w:style>
  <w:style w:type="paragraph" w:styleId="Heading2">
    <w:name w:val="heading 2"/>
    <w:basedOn w:val="Heading"/>
    <w:next w:val="Textbody"/>
    <w:uiPriority w:val="9"/>
    <w:semiHidden/>
    <w:unhideWhenUsed/>
    <w:qFormat/>
    <w:pPr>
      <w:numPr>
        <w:ilvl w:val="1"/>
        <w:numId w:val="1"/>
      </w:numPr>
      <w:outlineLvl w:val="1"/>
    </w:pPr>
    <w:rPr>
      <w:b/>
      <w:bCs/>
      <w:i/>
      <w:iCs/>
    </w:rPr>
  </w:style>
  <w:style w:type="paragraph" w:styleId="Heading3">
    <w:name w:val="heading 3"/>
    <w:basedOn w:val="Heading"/>
    <w:next w:val="Textbody"/>
    <w:uiPriority w:val="9"/>
    <w:semiHidden/>
    <w:unhideWhenUsed/>
    <w:qFormat/>
    <w:pPr>
      <w:numPr>
        <w:ilvl w:val="2"/>
        <w:numId w:val="1"/>
      </w:numPr>
      <w:outlineLvl w:val="2"/>
    </w:pPr>
    <w:rPr>
      <w:b/>
      <w:bCs/>
    </w:rPr>
  </w:style>
  <w:style w:type="paragraph" w:styleId="Heading4">
    <w:name w:val="heading 4"/>
    <w:basedOn w:val="Heading"/>
    <w:next w:val="Textbody"/>
    <w:uiPriority w:val="9"/>
    <w:semiHidden/>
    <w:unhideWhenUsed/>
    <w:qFormat/>
    <w:pPr>
      <w:numPr>
        <w:ilvl w:val="3"/>
        <w:numId w:val="1"/>
      </w:numPr>
      <w:outlineLvl w:val="3"/>
    </w:pPr>
    <w:rPr>
      <w:b/>
      <w:bCs/>
      <w:i/>
      <w:iCs/>
    </w:rPr>
  </w:style>
  <w:style w:type="paragraph" w:styleId="Heading5">
    <w:name w:val="heading 5"/>
    <w:basedOn w:val="Heading"/>
    <w:next w:val="Textbody"/>
    <w:uiPriority w:val="9"/>
    <w:semiHidden/>
    <w:unhideWhenUsed/>
    <w:qFormat/>
    <w:pPr>
      <w:numPr>
        <w:ilvl w:val="4"/>
        <w:numId w:val="1"/>
      </w:numPr>
      <w:outlineLvl w:val="4"/>
    </w:pPr>
    <w:rPr>
      <w:b/>
      <w:bCs/>
    </w:rPr>
  </w:style>
  <w:style w:type="paragraph" w:styleId="Heading6">
    <w:name w:val="heading 6"/>
    <w:basedOn w:val="Heading"/>
    <w:next w:val="Textbody"/>
    <w:uiPriority w:val="9"/>
    <w:semiHidden/>
    <w:unhideWhenUsed/>
    <w:qFormat/>
    <w:pPr>
      <w:numPr>
        <w:ilvl w:val="5"/>
        <w:numId w:val="1"/>
      </w:numPr>
      <w:outlineLvl w:val="5"/>
    </w:pPr>
    <w:rPr>
      <w:b/>
      <w:bCs/>
    </w:rPr>
  </w:style>
  <w:style w:type="paragraph" w:styleId="Heading7">
    <w:name w:val="heading 7"/>
    <w:basedOn w:val="Heading"/>
    <w:next w:val="Textbody"/>
    <w:pPr>
      <w:numPr>
        <w:ilvl w:val="6"/>
        <w:numId w:val="1"/>
      </w:numPr>
      <w:outlineLvl w:val="6"/>
    </w:pPr>
    <w:rPr>
      <w:b/>
      <w:bCs/>
    </w:rPr>
  </w:style>
  <w:style w:type="paragraph" w:styleId="Heading8">
    <w:name w:val="heading 8"/>
    <w:basedOn w:val="Heading"/>
    <w:next w:val="Textbody"/>
    <w:pPr>
      <w:numPr>
        <w:ilvl w:val="7"/>
        <w:numId w:val="1"/>
      </w:numPr>
      <w:outlineLvl w:val="7"/>
    </w:pPr>
    <w:rPr>
      <w:b/>
      <w:bCs/>
    </w:rPr>
  </w:style>
  <w:style w:type="paragraph" w:styleId="Heading9">
    <w:name w:val="heading 9"/>
    <w:basedOn w:val="Heading"/>
    <w:next w:val="Textbody"/>
    <w:pPr>
      <w:numPr>
        <w:ilvl w:val="8"/>
        <w:numId w:val="1"/>
      </w:num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rgOutline">
    <w:name w:val="OrgOutline"/>
    <w:basedOn w:val="NoList"/>
    <w:pPr>
      <w:numPr>
        <w:numId w:val="1"/>
      </w:numPr>
    </w:pPr>
  </w:style>
  <w:style w:type="paragraph" w:customStyle="1" w:styleId="Standard">
    <w:name w:val="Standard"/>
  </w:style>
  <w:style w:type="paragraph" w:customStyle="1" w:styleId="Heading">
    <w:name w:val="Heading"/>
    <w:basedOn w:val="Standard"/>
    <w:next w:val="Textbody"/>
    <w:pPr>
      <w:keepNext/>
      <w:tabs>
        <w:tab w:val="right" w:pos="9638"/>
      </w:tabs>
      <w:spacing w:before="240" w:after="120"/>
    </w:pPr>
    <w:rPr>
      <w:rFonts w:ascii="Arial"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ing201unnumbered">
    <w:name w:val="Heading_20_1_unnumbered"/>
    <w:basedOn w:val="Heading1"/>
    <w:pPr>
      <w:numPr>
        <w:numId w:val="0"/>
      </w:numPr>
    </w:pPr>
  </w:style>
  <w:style w:type="paragraph" w:customStyle="1" w:styleId="Heading202unnumbered">
    <w:name w:val="Heading_20_2_unnumbered"/>
    <w:basedOn w:val="Heading2"/>
    <w:pPr>
      <w:numPr>
        <w:ilvl w:val="0"/>
        <w:numId w:val="0"/>
      </w:numPr>
    </w:pPr>
  </w:style>
  <w:style w:type="paragraph" w:customStyle="1" w:styleId="Heading203unnumbered">
    <w:name w:val="Heading_20_3_unnumbered"/>
    <w:basedOn w:val="Heading3"/>
    <w:pPr>
      <w:numPr>
        <w:ilvl w:val="0"/>
        <w:numId w:val="0"/>
      </w:numPr>
    </w:pPr>
  </w:style>
  <w:style w:type="paragraph" w:customStyle="1" w:styleId="Heading204unnumbered">
    <w:name w:val="Heading_20_4_unnumbered"/>
    <w:basedOn w:val="Heading4"/>
    <w:pPr>
      <w:numPr>
        <w:ilvl w:val="0"/>
        <w:numId w:val="0"/>
      </w:numPr>
    </w:pPr>
  </w:style>
  <w:style w:type="paragraph" w:customStyle="1" w:styleId="Heading205unnumbered">
    <w:name w:val="Heading_20_5_unnumbered"/>
    <w:basedOn w:val="Heading5"/>
    <w:pPr>
      <w:numPr>
        <w:ilvl w:val="0"/>
        <w:numId w:val="0"/>
      </w:numPr>
    </w:pPr>
  </w:style>
  <w:style w:type="paragraph" w:customStyle="1" w:styleId="Heading206unnumbered">
    <w:name w:val="Heading_20_6_unnumbered"/>
    <w:basedOn w:val="Heading6"/>
    <w:pPr>
      <w:numPr>
        <w:ilvl w:val="0"/>
        <w:numId w:val="0"/>
      </w:numPr>
    </w:pPr>
  </w:style>
  <w:style w:type="paragraph" w:customStyle="1" w:styleId="Heading207unnumbered">
    <w:name w:val="Heading_20_7_unnumbered"/>
    <w:basedOn w:val="Heading7"/>
    <w:pPr>
      <w:numPr>
        <w:ilvl w:val="0"/>
        <w:numId w:val="0"/>
      </w:numPr>
    </w:pPr>
  </w:style>
  <w:style w:type="paragraph" w:customStyle="1" w:styleId="Heading208unnumbered">
    <w:name w:val="Heading_20_8_unnumbered"/>
    <w:basedOn w:val="Heading8"/>
    <w:pPr>
      <w:numPr>
        <w:ilvl w:val="0"/>
        <w:numId w:val="0"/>
      </w:numPr>
    </w:pPr>
  </w:style>
  <w:style w:type="paragraph" w:customStyle="1" w:styleId="Heading209unnumbered">
    <w:name w:val="Heading_20_9_unnumbered"/>
    <w:basedOn w:val="Heading9"/>
    <w:pPr>
      <w:numPr>
        <w:ilvl w:val="0"/>
        <w:numId w:val="0"/>
      </w:numPr>
    </w:pPr>
  </w:style>
  <w:style w:type="paragraph" w:customStyle="1" w:styleId="Heading10">
    <w:name w:val="Heading 10"/>
    <w:basedOn w:val="Heading"/>
    <w:next w:val="Textbody"/>
    <w:rPr>
      <w:b/>
      <w:bCs/>
    </w:rPr>
  </w:style>
  <w:style w:type="paragraph" w:customStyle="1" w:styleId="Heading2010unnumbered">
    <w:name w:val="Heading_20_10_unnumbered"/>
    <w:basedOn w:val="Heading10"/>
  </w:style>
  <w:style w:type="paragraph" w:customStyle="1" w:styleId="Heading1title">
    <w:name w:val="Heading 1.title"/>
    <w:basedOn w:val="Heading1"/>
    <w:pPr>
      <w:numPr>
        <w:numId w:val="0"/>
      </w:numPr>
      <w:jc w:val="center"/>
    </w:pPr>
  </w:style>
  <w:style w:type="paragraph" w:styleId="Title">
    <w:name w:val="Title"/>
    <w:basedOn w:val="Heading"/>
    <w:next w:val="Subtitle"/>
    <w:uiPriority w:val="10"/>
    <w:qFormat/>
    <w:pPr>
      <w:jc w:val="center"/>
    </w:pPr>
    <w:rPr>
      <w:b/>
      <w:bCs/>
      <w:sz w:val="36"/>
      <w:szCs w:val="36"/>
    </w:rPr>
  </w:style>
  <w:style w:type="paragraph" w:customStyle="1" w:styleId="OrgTitle">
    <w:name w:val="OrgTitle"/>
    <w:basedOn w:val="Title"/>
    <w:pPr>
      <w:spacing w:before="0" w:after="0"/>
    </w:pPr>
    <w:rPr>
      <w:sz w:val="48"/>
    </w:rPr>
  </w:style>
  <w:style w:type="paragraph" w:styleId="Subtitle">
    <w:name w:val="Subtitle"/>
    <w:basedOn w:val="Heading"/>
    <w:next w:val="Textbody"/>
    <w:uiPriority w:val="11"/>
    <w:qFormat/>
    <w:pPr>
      <w:jc w:val="center"/>
    </w:pPr>
    <w:rPr>
      <w:i/>
      <w:iCs/>
    </w:rPr>
  </w:style>
  <w:style w:type="paragraph" w:customStyle="1" w:styleId="OrgSubtitle">
    <w:name w:val="OrgSubtitle"/>
    <w:basedOn w:val="Subtitle"/>
    <w:pPr>
      <w:spacing w:before="0" w:after="0"/>
    </w:pPr>
    <w:rPr>
      <w:sz w:val="40"/>
    </w:rPr>
  </w:style>
  <w:style w:type="paragraph" w:customStyle="1" w:styleId="Textbodyindent">
    <w:name w:val="Text body indent"/>
    <w:basedOn w:val="Textbody"/>
    <w:pPr>
      <w:ind w:left="283"/>
    </w:pPr>
  </w:style>
  <w:style w:type="paragraph" w:customStyle="1" w:styleId="ListIndent">
    <w:name w:val="List Indent"/>
    <w:basedOn w:val="Textbody"/>
    <w:pPr>
      <w:tabs>
        <w:tab w:val="left" w:pos="2835"/>
      </w:tabs>
      <w:ind w:left="2835" w:hanging="2551"/>
    </w:pPr>
  </w:style>
  <w:style w:type="paragraph" w:customStyle="1" w:styleId="Firstlineindent">
    <w:name w:val="First line indent"/>
    <w:basedOn w:val="Textbody"/>
    <w:pPr>
      <w:ind w:firstLine="283"/>
    </w:pPr>
  </w:style>
  <w:style w:type="paragraph" w:customStyle="1" w:styleId="Hangingindent">
    <w:name w:val="Hanging indent"/>
    <w:basedOn w:val="Textbody"/>
    <w:pPr>
      <w:tabs>
        <w:tab w:val="left" w:pos="567"/>
      </w:tabs>
      <w:ind w:left="567" w:hanging="283"/>
    </w:pPr>
  </w:style>
  <w:style w:type="paragraph" w:styleId="Salutation">
    <w:name w:val="Salutation"/>
    <w:basedOn w:val="Standard"/>
    <w:pPr>
      <w:suppressLineNumbers/>
    </w:pPr>
  </w:style>
  <w:style w:type="paragraph" w:customStyle="1" w:styleId="ContentsHeading">
    <w:name w:val="Contents Heading"/>
    <w:basedOn w:val="Heading"/>
    <w:pPr>
      <w:suppressLineNumbers/>
    </w:pPr>
    <w:rPr>
      <w:b/>
      <w:bCs/>
      <w:sz w:val="32"/>
      <w:szCs w:val="32"/>
    </w:rPr>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paragraph" w:customStyle="1" w:styleId="Contents3">
    <w:name w:val="Contents 3"/>
    <w:basedOn w:val="Index"/>
    <w:pPr>
      <w:tabs>
        <w:tab w:val="right" w:leader="dot" w:pos="9638"/>
      </w:tabs>
      <w:ind w:left="566"/>
    </w:pPr>
  </w:style>
  <w:style w:type="paragraph" w:customStyle="1" w:styleId="Contents4">
    <w:name w:val="Contents 4"/>
    <w:basedOn w:val="Index"/>
    <w:pPr>
      <w:tabs>
        <w:tab w:val="right" w:leader="dot" w:pos="9638"/>
      </w:tabs>
      <w:ind w:left="849"/>
    </w:pPr>
  </w:style>
  <w:style w:type="paragraph" w:customStyle="1" w:styleId="Contents5">
    <w:name w:val="Contents 5"/>
    <w:basedOn w:val="Index"/>
    <w:pPr>
      <w:tabs>
        <w:tab w:val="right" w:leader="dot" w:pos="9638"/>
      </w:tabs>
      <w:ind w:left="1132"/>
    </w:pPr>
  </w:style>
  <w:style w:type="paragraph" w:customStyle="1" w:styleId="Contents6">
    <w:name w:val="Contents 6"/>
    <w:basedOn w:val="Index"/>
    <w:pPr>
      <w:tabs>
        <w:tab w:val="right" w:leader="dot" w:pos="9638"/>
      </w:tabs>
      <w:ind w:left="1415"/>
    </w:pPr>
  </w:style>
  <w:style w:type="paragraph" w:customStyle="1" w:styleId="Contents7">
    <w:name w:val="Contents 7"/>
    <w:basedOn w:val="Index"/>
    <w:pPr>
      <w:tabs>
        <w:tab w:val="right" w:leader="dot" w:pos="9638"/>
      </w:tabs>
      <w:ind w:left="1698"/>
    </w:pPr>
  </w:style>
  <w:style w:type="paragraph" w:customStyle="1" w:styleId="Contents8">
    <w:name w:val="Contents 8"/>
    <w:basedOn w:val="Index"/>
    <w:pPr>
      <w:tabs>
        <w:tab w:val="right" w:leader="dot" w:pos="9638"/>
      </w:tabs>
      <w:ind w:left="1981"/>
    </w:pPr>
  </w:style>
  <w:style w:type="paragraph" w:customStyle="1" w:styleId="Contents9">
    <w:name w:val="Contents 9"/>
    <w:basedOn w:val="Index"/>
    <w:pPr>
      <w:tabs>
        <w:tab w:val="right" w:leader="dot" w:pos="9638"/>
      </w:tabs>
      <w:ind w:left="2264"/>
    </w:pPr>
  </w:style>
  <w:style w:type="paragraph" w:customStyle="1" w:styleId="Contents10">
    <w:name w:val="Contents 10"/>
    <w:basedOn w:val="Index"/>
    <w:pPr>
      <w:tabs>
        <w:tab w:val="right" w:leader="dot" w:pos="9638"/>
      </w:tabs>
      <w:ind w:left="2547"/>
    </w:pPr>
  </w:style>
  <w:style w:type="paragraph" w:customStyle="1" w:styleId="Quotations">
    <w:name w:val="Quotations"/>
    <w:basedOn w:val="Standard"/>
    <w:pPr>
      <w:spacing w:after="283"/>
      <w:ind w:left="567" w:right="567"/>
    </w:pPr>
  </w:style>
  <w:style w:type="paragraph" w:customStyle="1" w:styleId="OrgFootnoteQuotations">
    <w:name w:val="OrgFootnoteQuotations"/>
    <w:basedOn w:val="Footnote"/>
    <w:pPr>
      <w:spacing w:after="283"/>
      <w:ind w:left="567" w:right="567" w:firstLine="0"/>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OrgVerse">
    <w:name w:val="OrgVerse"/>
    <w:basedOn w:val="PreformattedText"/>
  </w:style>
  <w:style w:type="paragraph" w:customStyle="1" w:styleId="OrgClock">
    <w:name w:val="OrgClock"/>
    <w:basedOn w:val="Textbody"/>
    <w:pPr>
      <w:spacing w:after="0"/>
    </w:pPr>
  </w:style>
  <w:style w:type="paragraph" w:customStyle="1" w:styleId="OrgClockLastLine">
    <w:name w:val="OrgClockLastLine"/>
    <w:basedOn w:val="OrgClock"/>
  </w:style>
  <w:style w:type="paragraph" w:customStyle="1" w:styleId="OrgPlanning">
    <w:name w:val="OrgPlanning"/>
    <w:basedOn w:val="Textbody"/>
  </w:style>
  <w:style w:type="paragraph" w:customStyle="1" w:styleId="OrgFixedWidthBlock">
    <w:name w:val="OrgFixedWidthBlock"/>
    <w:basedOn w:val="PreformattedText"/>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pPr>
      <w:spacing w:after="119"/>
    </w:pPr>
  </w:style>
  <w:style w:type="paragraph" w:customStyle="1" w:styleId="OrgSrcBlockLastLine">
    <w:name w:val="OrgSrcBlockLastLine"/>
    <w:pPr>
      <w:spacing w:after="119"/>
    </w:pPr>
  </w:style>
  <w:style w:type="paragraph" w:customStyle="1" w:styleId="OrgCenter">
    <w:name w:val="OrgCenter"/>
    <w:basedOn w:val="Textbody"/>
    <w:pPr>
      <w:jc w:val="center"/>
    </w:pPr>
  </w:style>
  <w:style w:type="paragraph" w:customStyle="1" w:styleId="OrgFootnoteCenter">
    <w:name w:val="OrgFootnoteCenter"/>
    <w:basedOn w:val="Footnote"/>
    <w:pPr>
      <w:jc w:val="center"/>
    </w:pPr>
  </w:style>
  <w:style w:type="paragraph" w:customStyle="1" w:styleId="OrgTableContents">
    <w:name w:val="OrgTableContents"/>
    <w:basedOn w:val="Textbody"/>
  </w:style>
  <w:style w:type="paragraph" w:customStyle="1" w:styleId="OrgTableHeading">
    <w:name w:val="OrgTableHeading"/>
    <w:basedOn w:val="OrgTableContents"/>
    <w:pPr>
      <w:suppressLineNumbers/>
      <w:jc w:val="center"/>
    </w:pPr>
    <w:rPr>
      <w:b/>
      <w:bCs/>
    </w:rPr>
  </w:style>
  <w:style w:type="paragraph" w:customStyle="1" w:styleId="OrgTableHeadingLeft">
    <w:name w:val="OrgTableHeadingLeft"/>
    <w:basedOn w:val="OrgTableHeading"/>
    <w:pPr>
      <w:jc w:val="left"/>
    </w:pPr>
  </w:style>
  <w:style w:type="paragraph" w:customStyle="1" w:styleId="OrgTableHeadingRight">
    <w:name w:val="OrgTableHeadingRight"/>
    <w:basedOn w:val="OrgTableHeading"/>
    <w:pPr>
      <w:jc w:val="right"/>
    </w:pPr>
  </w:style>
  <w:style w:type="paragraph" w:customStyle="1" w:styleId="OrgTableHeadingCenter">
    <w:name w:val="OrgTableHeadingCenter"/>
    <w:basedOn w:val="OrgTableHeading"/>
  </w:style>
  <w:style w:type="paragraph" w:customStyle="1" w:styleId="OrgTableContentsLeft">
    <w:name w:val="OrgTableContentsLeft"/>
    <w:basedOn w:val="OrgTableContents"/>
  </w:style>
  <w:style w:type="paragraph" w:customStyle="1" w:styleId="OrgTableContentsRight">
    <w:name w:val="OrgTableContentsRight"/>
    <w:basedOn w:val="OrgTableContents"/>
    <w:pPr>
      <w:jc w:val="right"/>
    </w:pPr>
  </w:style>
  <w:style w:type="paragraph" w:customStyle="1" w:styleId="OrgTableContentsCenter">
    <w:name w:val="OrgTableContentsCenter"/>
    <w:basedOn w:val="OrgTableContents"/>
    <w:pPr>
      <w:jc w:val="center"/>
    </w:pPr>
  </w:style>
  <w:style w:type="paragraph" w:customStyle="1" w:styleId="Textbodybold">
    <w:name w:val="Text body bold"/>
    <w:basedOn w:val="Textbody"/>
    <w:next w:val="Textbody"/>
    <w:rPr>
      <w:b/>
    </w:rPr>
  </w:style>
  <w:style w:type="paragraph" w:customStyle="1" w:styleId="Footnote">
    <w:name w:val="Footnote"/>
    <w:basedOn w:val="Standard"/>
    <w:pPr>
      <w:suppressLineNumbers/>
      <w:ind w:left="283" w:hanging="283"/>
    </w:pPr>
    <w:rPr>
      <w:sz w:val="20"/>
      <w:szCs w:val="20"/>
    </w:rPr>
  </w:style>
  <w:style w:type="paragraph" w:customStyle="1" w:styleId="Figure">
    <w:name w:val="Figure"/>
    <w:basedOn w:val="Caption"/>
  </w:style>
  <w:style w:type="paragraph" w:customStyle="1" w:styleId="IllustrationIndexHeading">
    <w:name w:val="Illustration Index Heading"/>
    <w:basedOn w:val="Heading"/>
    <w:pPr>
      <w:suppressLineNumbers/>
    </w:pPr>
    <w:rPr>
      <w:b/>
      <w:bCs/>
      <w:sz w:val="32"/>
      <w:szCs w:val="32"/>
    </w:rPr>
  </w:style>
  <w:style w:type="paragraph" w:customStyle="1" w:styleId="Table">
    <w:name w:val="Table"/>
    <w:basedOn w:val="Caption"/>
    <w:pPr>
      <w:jc w:val="center"/>
    </w:pPr>
  </w:style>
  <w:style w:type="paragraph" w:customStyle="1" w:styleId="Listing">
    <w:name w:val="Listing"/>
    <w:basedOn w:val="Caption"/>
    <w:pPr>
      <w:keepNext/>
    </w:pPr>
  </w:style>
  <w:style w:type="paragraph" w:customStyle="1" w:styleId="HorizontalLine">
    <w:name w:val="Horizontal Line"/>
    <w:basedOn w:val="Standard"/>
    <w:next w:val="Textbody"/>
    <w:pPr>
      <w:suppressLineNumbers/>
      <w:spacing w:after="119"/>
    </w:pPr>
    <w:rPr>
      <w:sz w:val="12"/>
      <w:szCs w:val="12"/>
    </w:rPr>
  </w:style>
  <w:style w:type="character" w:styleId="Emphasis">
    <w:name w:val="Emphasis"/>
    <w:rPr>
      <w:i/>
      <w:iCs/>
    </w:rPr>
  </w:style>
  <w:style w:type="character" w:customStyle="1" w:styleId="Underline">
    <w:name w:val="Underline"/>
    <w:rPr>
      <w:u w:val="single"/>
      <w:shd w:val="clear" w:color="auto" w:fill="auto"/>
    </w:rPr>
  </w:style>
  <w:style w:type="character" w:customStyle="1" w:styleId="Strikethrough">
    <w:name w:val="Strikethrough"/>
    <w:rPr>
      <w:strike/>
    </w:rPr>
  </w:style>
  <w:style w:type="character" w:customStyle="1" w:styleId="SourceText">
    <w:name w:val="Source Text"/>
    <w:rPr>
      <w:rFonts w:ascii="Courier New" w:eastAsia="NSimSun" w:hAnsi="Courier New" w:cs="Courier New"/>
      <w:shd w:val="clear" w:color="auto" w:fill="auto"/>
    </w:rPr>
  </w:style>
  <w:style w:type="character" w:customStyle="1" w:styleId="Citation">
    <w:name w:val="Citation"/>
    <w:rPr>
      <w:i/>
      <w:iCs/>
    </w:rPr>
  </w:style>
  <w:style w:type="character" w:customStyle="1" w:styleId="Example">
    <w:name w:val="Example"/>
    <w:rPr>
      <w:rFonts w:ascii="Courier New" w:eastAsia="NSimSun" w:hAnsi="Courier New" w:cs="Courier New"/>
      <w:shd w:val="clear" w:color="auto" w:fill="auto"/>
    </w:rPr>
  </w:style>
  <w:style w:type="character" w:customStyle="1" w:styleId="OrgCode">
    <w:name w:val="OrgCode"/>
    <w:basedOn w:val="SourceText"/>
    <w:rPr>
      <w:rFonts w:ascii="Courier New" w:eastAsia="NSimSun" w:hAnsi="Courier New" w:cs="Courier New"/>
      <w:shd w:val="clear" w:color="auto" w:fill="auto"/>
    </w:rPr>
  </w:style>
  <w:style w:type="character" w:customStyle="1" w:styleId="OrgTodo">
    <w:name w:val="OrgTodo"/>
  </w:style>
  <w:style w:type="character" w:customStyle="1" w:styleId="OrgDone">
    <w:name w:val="OrgDone"/>
  </w:style>
  <w:style w:type="character" w:customStyle="1" w:styleId="OrgTag">
    <w:name w:val="OrgTag"/>
    <w:rPr>
      <w:smallCaps/>
      <w:shd w:val="clear" w:color="auto" w:fill="auto"/>
    </w:rPr>
  </w:style>
  <w:style w:type="character" w:customStyle="1" w:styleId="OrgTags">
    <w:name w:val="OrgTags"/>
  </w:style>
  <w:style w:type="character" w:customStyle="1" w:styleId="OrgPriority">
    <w:name w:val="OrgPriority"/>
  </w:style>
  <w:style w:type="character" w:customStyle="1" w:styleId="OrgPriority-A">
    <w:name w:val="OrgPriority-A"/>
    <w:basedOn w:val="OrgPriority"/>
  </w:style>
  <w:style w:type="character" w:customStyle="1" w:styleId="OrgPriority-B">
    <w:name w:val="OrgPriority-B"/>
    <w:basedOn w:val="OrgPriority"/>
  </w:style>
  <w:style w:type="character" w:customStyle="1" w:styleId="OrgPriority-C">
    <w:name w:val="OrgPriority-C"/>
    <w:basedOn w:val="OrgPriority"/>
  </w:style>
  <w:style w:type="character" w:customStyle="1" w:styleId="OrgTimestamp">
    <w:name w:val="OrgTimestamp"/>
    <w:rPr>
      <w:rFonts w:ascii="Courier New" w:eastAsia="NSimSun" w:hAnsi="Courier New" w:cs="Courier New"/>
      <w:shd w:val="clear" w:color="auto" w:fill="auto"/>
    </w:rPr>
  </w:style>
  <w:style w:type="character" w:customStyle="1" w:styleId="OrgActiveTimestamp">
    <w:name w:val="OrgActiveTimestamp"/>
    <w:basedOn w:val="OrgTimestamp"/>
    <w:rPr>
      <w:rFonts w:ascii="Courier New" w:eastAsia="NSimSun" w:hAnsi="Courier New" w:cs="Courier New"/>
      <w:shd w:val="clear" w:color="auto" w:fill="auto"/>
    </w:rPr>
  </w:style>
  <w:style w:type="character" w:customStyle="1" w:styleId="OrgInactiveTimestamp">
    <w:name w:val="OrgInactiveTimestamp"/>
    <w:basedOn w:val="OrgTimestamp"/>
    <w:rPr>
      <w:rFonts w:ascii="Courier New" w:eastAsia="NSimSun" w:hAnsi="Courier New" w:cs="Courier New"/>
      <w:shd w:val="clear" w:color="auto" w:fill="auto"/>
    </w:rPr>
  </w:style>
  <w:style w:type="character" w:customStyle="1" w:styleId="OrgTimestampKeyword">
    <w:name w:val="OrgTimestampKeyword"/>
    <w:rPr>
      <w:b/>
      <w:color w:val="auto"/>
    </w:rPr>
  </w:style>
  <w:style w:type="character" w:customStyle="1" w:styleId="OrgScheduledKeyword">
    <w:name w:val="OrgScheduledKeyword"/>
    <w:basedOn w:val="OrgTimestampKeyword"/>
    <w:rPr>
      <w:b/>
      <w:color w:val="auto"/>
    </w:rPr>
  </w:style>
  <w:style w:type="character" w:customStyle="1" w:styleId="OrgDeadlineKeyword">
    <w:name w:val="OrgDeadlineKeyword"/>
    <w:basedOn w:val="OrgTimestampKeyword"/>
    <w:rPr>
      <w:b/>
      <w:color w:val="auto"/>
    </w:rPr>
  </w:style>
  <w:style w:type="character" w:customStyle="1" w:styleId="OrgClockKeyword">
    <w:name w:val="OrgClockKeyword"/>
    <w:basedOn w:val="OrgTimestampKeyword"/>
    <w:rPr>
      <w:b/>
      <w:color w:val="auto"/>
    </w:rPr>
  </w:style>
  <w:style w:type="character" w:customStyle="1" w:styleId="OrgClosedKeyword">
    <w:name w:val="OrgClosedKeyword"/>
    <w:basedOn w:val="OrgTimestampKeyword"/>
    <w:rPr>
      <w:b/>
      <w:color w:val="auto"/>
    </w:rPr>
  </w:style>
  <w:style w:type="character" w:customStyle="1" w:styleId="OrgTimestampWrapper">
    <w:name w:val="OrgTimestampWrapper"/>
  </w:style>
  <w:style w:type="character" w:customStyle="1" w:styleId="OrgTarget">
    <w:name w:val="OrgTarget"/>
  </w:style>
  <w:style w:type="character" w:customStyle="1" w:styleId="Bold">
    <w:name w:val="Bold"/>
    <w:rPr>
      <w:b/>
    </w:rPr>
  </w:style>
  <w:style w:type="character" w:customStyle="1" w:styleId="NumberingSymbols">
    <w:name w:val="Numbering Symbols"/>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OrgSuperscript">
    <w:name w:val="OrgSuperscript"/>
    <w:rPr>
      <w:position w:val="0"/>
      <w:vertAlign w:val="superscript"/>
    </w:rPr>
  </w:style>
  <w:style w:type="character" w:customStyle="1" w:styleId="OrgSubscript">
    <w:name w:val="OrgSubscript"/>
    <w:rPr>
      <w:position w:val="0"/>
      <w:vertAlign w:val="subscript"/>
    </w:rPr>
  </w:style>
  <w:style w:type="character" w:customStyle="1" w:styleId="Internetlink">
    <w:name w:val="Internet link"/>
    <w:rPr>
      <w:color w:val="000080"/>
      <w:u w:val="single"/>
      <w:lang/>
    </w:rPr>
  </w:style>
  <w:style w:type="paragraph" w:customStyle="1" w:styleId="OrgInlineTaskHeading">
    <w:name w:val="OrgInlineTaskHeading"/>
    <w:basedOn w:val="Caption"/>
    <w:next w:val="Textbody"/>
    <w:rPr>
      <w:b/>
      <w:i w:val="0"/>
    </w:rPr>
  </w:style>
  <w:style w:type="numbering" w:customStyle="1" w:styleId="Numbering1">
    <w:name w:val="Numbering 1"/>
    <w:basedOn w:val="NoList"/>
    <w:pPr>
      <w:numPr>
        <w:numId w:val="2"/>
      </w:numPr>
    </w:pPr>
  </w:style>
  <w:style w:type="numbering" w:customStyle="1" w:styleId="List1">
    <w:name w:val="List 1"/>
    <w:basedOn w:val="NoList"/>
    <w:pPr>
      <w:numPr>
        <w:numId w:val="3"/>
      </w:numPr>
    </w:pPr>
  </w:style>
  <w:style w:type="numbering" w:customStyle="1" w:styleId="OrgNumberedList">
    <w:name w:val="OrgNumberedList"/>
    <w:basedOn w:val="NoList"/>
    <w:pPr>
      <w:numPr>
        <w:numId w:val="4"/>
      </w:numPr>
    </w:pPr>
  </w:style>
  <w:style w:type="numbering" w:customStyle="1" w:styleId="OrgBulletedList">
    <w:name w:val="OrgBulletedList"/>
    <w:basedOn w:val="NoList"/>
    <w:pPr>
      <w:numPr>
        <w:numId w:val="5"/>
      </w:numPr>
    </w:pPr>
  </w:style>
  <w:style w:type="numbering" w:customStyle="1" w:styleId="OrgDescriptionList">
    <w:name w:val="OrgDescriptionList"/>
    <w:basedOn w:val="NoList"/>
    <w:pPr>
      <w:numPr>
        <w:numId w:val="6"/>
      </w:numPr>
    </w:pPr>
  </w:style>
  <w:style w:type="numbering" w:customStyle="1" w:styleId="OrgSrcBlockNumberedLine">
    <w:name w:val="OrgSrcBlockNumberedLine"/>
    <w:basedOn w:val="NoList"/>
    <w:pPr>
      <w:numPr>
        <w:numId w:val="7"/>
      </w:numPr>
    </w:pPr>
  </w:style>
  <w:style w:type="character" w:styleId="FootnoteReference">
    <w:name w:val="footnote reference"/>
    <w:basedOn w:val="DefaultParagraphFont"/>
    <w:uiPriority w:val="99"/>
    <w:semiHidden/>
    <w:unhideWhenUsed/>
    <w:rPr>
      <w:vertAlign w:val="superscript"/>
    </w:rPr>
  </w:style>
  <w:style w:type="paragraph" w:styleId="Footer">
    <w:name w:val="footer"/>
    <w:basedOn w:val="Normal"/>
    <w:link w:val="FooterChar"/>
    <w:uiPriority w:val="99"/>
    <w:unhideWhenUsed/>
    <w:pPr>
      <w:tabs>
        <w:tab w:val="center" w:pos="4680"/>
        <w:tab w:val="right" w:pos="9360"/>
      </w:tabs>
    </w:pPr>
    <w:rPr>
      <w:rFonts w:cs="Mangal"/>
      <w:szCs w:val="21"/>
    </w:rPr>
  </w:style>
  <w:style w:type="character" w:customStyle="1" w:styleId="FooterChar">
    <w:name w:val="Footer Char"/>
    <w:basedOn w:val="DefaultParagraphFont"/>
    <w:link w:val="Footer"/>
    <w:uiPriority w:val="99"/>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1016/j.future.2017.01.0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3656</Words>
  <Characters>20840</Characters>
  <Application>Microsoft Office Word</Application>
  <DocSecurity>0</DocSecurity>
  <Lines>173</Lines>
  <Paragraphs>48</Paragraphs>
  <ScaleCrop>false</ScaleCrop>
  <Company/>
  <LinksUpToDate>false</LinksUpToDate>
  <CharactersWithSpaces>24448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cp:lastModifiedBy>fcalado</cp:lastModifiedBy>
  <cp:revision>3</cp:revision>
  <dcterms:created xsi:type="dcterms:W3CDTF">2026-05-04T14:31:00Z</dcterms:created>
  <dcterms:modified xsi:type="dcterms:W3CDTF">2026-05-04T14:31:00Z</dcterms:modified>
</cp:coreProperties>
</file>