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5A098" w14:textId="77777777" w:rsidR="005D0CA9" w:rsidRDefault="00802114">
      <w:pPr>
        <w:rPr>
          <w:rFonts w:ascii="Garamond" w:eastAsia="Garamond" w:hAnsi="Garamond" w:cs="Garamond"/>
          <w:sz w:val="24"/>
          <w:szCs w:val="24"/>
        </w:rPr>
      </w:pPr>
      <w:r>
        <w:rPr>
          <w:rFonts w:ascii="Garamond" w:eastAsia="Garamond" w:hAnsi="Garamond" w:cs="Garamond"/>
          <w:sz w:val="24"/>
          <w:szCs w:val="24"/>
        </w:rPr>
        <w:t>Filipa Calado</w:t>
      </w:r>
    </w:p>
    <w:p w14:paraId="14FEC6D5" w14:textId="77777777" w:rsidR="005D0CA9" w:rsidRDefault="00802114">
      <w:pPr>
        <w:rPr>
          <w:rFonts w:ascii="Garamond" w:eastAsia="Garamond" w:hAnsi="Garamond" w:cs="Garamond"/>
          <w:sz w:val="24"/>
          <w:szCs w:val="24"/>
        </w:rPr>
      </w:pPr>
      <w:r>
        <w:rPr>
          <w:rFonts w:ascii="Garamond" w:eastAsia="Garamond" w:hAnsi="Garamond" w:cs="Garamond"/>
          <w:sz w:val="24"/>
          <w:szCs w:val="24"/>
        </w:rPr>
        <w:t>Binary Modernisms: Re/Appropriations of Modernist Art in the Digital Age</w:t>
      </w:r>
    </w:p>
    <w:p w14:paraId="0D1E842B" w14:textId="17024B75" w:rsidR="005D0CA9" w:rsidRDefault="00763E00">
      <w:pPr>
        <w:rPr>
          <w:rFonts w:ascii="Book Antiqua" w:eastAsia="Book Antiqua" w:hAnsi="Book Antiqua" w:cs="Book Antiqua"/>
        </w:rPr>
      </w:pPr>
      <w:r>
        <w:rPr>
          <w:rFonts w:ascii="Garamond" w:eastAsia="Garamond" w:hAnsi="Garamond" w:cs="Garamond"/>
          <w:sz w:val="24"/>
          <w:szCs w:val="24"/>
        </w:rPr>
        <w:t>October 18, 2021</w:t>
      </w:r>
    </w:p>
    <w:p w14:paraId="66C10E3B" w14:textId="77777777" w:rsidR="005D0CA9" w:rsidRDefault="005D0CA9">
      <w:pPr>
        <w:spacing w:line="240" w:lineRule="auto"/>
        <w:rPr>
          <w:rFonts w:ascii="Book Antiqua" w:eastAsia="Book Antiqua" w:hAnsi="Book Antiqua" w:cs="Book Antiqua"/>
        </w:rPr>
      </w:pPr>
    </w:p>
    <w:p w14:paraId="174BD882" w14:textId="77777777" w:rsidR="005D0CA9" w:rsidRDefault="005D0CA9">
      <w:pPr>
        <w:spacing w:line="240" w:lineRule="auto"/>
        <w:rPr>
          <w:rFonts w:ascii="Book Antiqua" w:eastAsia="Book Antiqua" w:hAnsi="Book Antiqua" w:cs="Book Antiqua"/>
        </w:rPr>
      </w:pPr>
    </w:p>
    <w:p w14:paraId="53BDBC5B" w14:textId="77777777" w:rsidR="005D0CA9" w:rsidRDefault="00802114">
      <w:pPr>
        <w:spacing w:line="240" w:lineRule="auto"/>
        <w:jc w:val="center"/>
        <w:rPr>
          <w:rFonts w:ascii="Book Antiqua" w:eastAsia="Book Antiqua" w:hAnsi="Book Antiqua" w:cs="Book Antiqua"/>
        </w:rPr>
      </w:pPr>
      <w:r>
        <w:rPr>
          <w:rFonts w:ascii="Book Antiqua" w:eastAsia="Book Antiqua" w:hAnsi="Book Antiqua" w:cs="Book Antiqua"/>
          <w:u w:val="single"/>
        </w:rPr>
        <w:t xml:space="preserve">Encoding Queer Erasure in Oscar Wilde’s </w:t>
      </w:r>
      <w:r>
        <w:rPr>
          <w:rFonts w:ascii="Book Antiqua" w:eastAsia="Book Antiqua" w:hAnsi="Book Antiqua" w:cs="Book Antiqua"/>
          <w:i/>
          <w:u w:val="single"/>
        </w:rPr>
        <w:t xml:space="preserve">The Picture of Dorian Gray </w:t>
      </w:r>
    </w:p>
    <w:p w14:paraId="30EFD3B0" w14:textId="77777777" w:rsidR="005D0CA9" w:rsidRDefault="005D0CA9">
      <w:pPr>
        <w:spacing w:line="480" w:lineRule="auto"/>
        <w:ind w:firstLine="720"/>
        <w:rPr>
          <w:rFonts w:ascii="Book Antiqua" w:eastAsia="Book Antiqua" w:hAnsi="Book Antiqua" w:cs="Book Antiqua"/>
        </w:rPr>
      </w:pPr>
    </w:p>
    <w:p w14:paraId="32A0A7B7" w14:textId="2C55096C" w:rsidR="005D0CA9" w:rsidRPr="00170E54" w:rsidRDefault="0089422A" w:rsidP="00A47EA0">
      <w:pPr>
        <w:spacing w:line="480" w:lineRule="auto"/>
        <w:ind w:firstLine="720"/>
        <w:rPr>
          <w:rFonts w:ascii="Times New Roman" w:eastAsia="Garamond" w:hAnsi="Times New Roman" w:cs="Times New Roman"/>
          <w:sz w:val="24"/>
          <w:szCs w:val="24"/>
        </w:rPr>
      </w:pPr>
      <w:r>
        <w:rPr>
          <w:rFonts w:ascii="Times New Roman" w:eastAsia="Garamond" w:hAnsi="Times New Roman" w:cs="Times New Roman"/>
          <w:sz w:val="24"/>
          <w:szCs w:val="24"/>
        </w:rPr>
        <w:t xml:space="preserve">Literary and textual scholars </w:t>
      </w:r>
      <w:r w:rsidRPr="00170E54">
        <w:rPr>
          <w:rFonts w:ascii="Times New Roman" w:eastAsia="Garamond" w:hAnsi="Times New Roman" w:cs="Times New Roman"/>
          <w:sz w:val="24"/>
          <w:szCs w:val="24"/>
        </w:rPr>
        <w:t xml:space="preserve">have long speculated </w:t>
      </w:r>
      <w:r w:rsidR="00536F6F">
        <w:rPr>
          <w:rFonts w:ascii="Times New Roman" w:eastAsia="Garamond" w:hAnsi="Times New Roman" w:cs="Times New Roman"/>
          <w:sz w:val="24"/>
          <w:szCs w:val="24"/>
        </w:rPr>
        <w:t>about</w:t>
      </w:r>
      <w:r w:rsidRPr="00170E54">
        <w:rPr>
          <w:rFonts w:ascii="Times New Roman" w:eastAsia="Garamond" w:hAnsi="Times New Roman" w:cs="Times New Roman"/>
          <w:sz w:val="24"/>
          <w:szCs w:val="24"/>
        </w:rPr>
        <w:t xml:space="preserve"> Wilde’s </w:t>
      </w:r>
      <w:r w:rsidR="00536F6F">
        <w:rPr>
          <w:rFonts w:ascii="Times New Roman" w:eastAsia="Garamond" w:hAnsi="Times New Roman" w:cs="Times New Roman"/>
          <w:sz w:val="24"/>
          <w:szCs w:val="24"/>
        </w:rPr>
        <w:t>intentions</w:t>
      </w:r>
      <w:r w:rsidR="0089112D">
        <w:rPr>
          <w:rFonts w:ascii="Times New Roman" w:eastAsia="Garamond" w:hAnsi="Times New Roman" w:cs="Times New Roman"/>
          <w:sz w:val="24"/>
          <w:szCs w:val="24"/>
        </w:rPr>
        <w:t xml:space="preserve"> </w:t>
      </w:r>
      <w:r w:rsidR="00536F6F">
        <w:rPr>
          <w:rFonts w:ascii="Times New Roman" w:eastAsia="Garamond" w:hAnsi="Times New Roman" w:cs="Times New Roman"/>
          <w:sz w:val="24"/>
          <w:szCs w:val="24"/>
        </w:rPr>
        <w:t>for</w:t>
      </w:r>
      <w:r w:rsidR="0089112D">
        <w:rPr>
          <w:rFonts w:ascii="Times New Roman" w:eastAsia="Garamond" w:hAnsi="Times New Roman" w:cs="Times New Roman"/>
          <w:sz w:val="24"/>
          <w:szCs w:val="24"/>
        </w:rPr>
        <w:t xml:space="preserve"> revising the </w:t>
      </w:r>
      <w:r>
        <w:rPr>
          <w:rFonts w:ascii="Times New Roman" w:eastAsia="Garamond" w:hAnsi="Times New Roman" w:cs="Times New Roman"/>
          <w:sz w:val="24"/>
          <w:szCs w:val="24"/>
        </w:rPr>
        <w:t xml:space="preserve">homoerotic content of his famous novel, </w:t>
      </w:r>
      <w:r w:rsidRPr="00170E54">
        <w:rPr>
          <w:rFonts w:ascii="Times New Roman" w:eastAsia="Garamond" w:hAnsi="Times New Roman" w:cs="Times New Roman"/>
          <w:i/>
          <w:sz w:val="24"/>
          <w:szCs w:val="24"/>
        </w:rPr>
        <w:t>The Picture of Dorian Gray</w:t>
      </w:r>
      <w:r w:rsidRPr="00170E54">
        <w:rPr>
          <w:rFonts w:ascii="Times New Roman" w:eastAsia="Garamond" w:hAnsi="Times New Roman" w:cs="Times New Roman"/>
          <w:sz w:val="24"/>
          <w:szCs w:val="24"/>
        </w:rPr>
        <w:t xml:space="preserve"> (189</w:t>
      </w:r>
      <w:r w:rsidR="00D51624">
        <w:rPr>
          <w:rFonts w:ascii="Times New Roman" w:eastAsia="Garamond" w:hAnsi="Times New Roman" w:cs="Times New Roman"/>
          <w:sz w:val="24"/>
          <w:szCs w:val="24"/>
        </w:rPr>
        <w:t>1</w:t>
      </w:r>
      <w:r w:rsidRPr="00170E54">
        <w:rPr>
          <w:rFonts w:ascii="Times New Roman" w:eastAsia="Garamond" w:hAnsi="Times New Roman" w:cs="Times New Roman"/>
          <w:sz w:val="24"/>
          <w:szCs w:val="24"/>
        </w:rPr>
        <w:t>)</w:t>
      </w:r>
      <w:r>
        <w:rPr>
          <w:rFonts w:ascii="Times New Roman" w:eastAsia="Garamond" w:hAnsi="Times New Roman" w:cs="Times New Roman"/>
          <w:sz w:val="24"/>
          <w:szCs w:val="24"/>
        </w:rPr>
        <w:t>. More recently, e</w:t>
      </w:r>
      <w:r w:rsidR="00802114" w:rsidRPr="00170E54">
        <w:rPr>
          <w:rFonts w:ascii="Times New Roman" w:eastAsia="Garamond" w:hAnsi="Times New Roman" w:cs="Times New Roman"/>
          <w:sz w:val="24"/>
          <w:szCs w:val="24"/>
        </w:rPr>
        <w:t xml:space="preserve">lectronic editing standards enable scholars </w:t>
      </w:r>
      <w:r w:rsidR="0089112D">
        <w:rPr>
          <w:rFonts w:ascii="Times New Roman" w:eastAsia="Garamond" w:hAnsi="Times New Roman" w:cs="Times New Roman"/>
          <w:sz w:val="24"/>
          <w:szCs w:val="24"/>
        </w:rPr>
        <w:t xml:space="preserve">to explore </w:t>
      </w:r>
      <w:r w:rsidR="00BE0579">
        <w:rPr>
          <w:rFonts w:ascii="Times New Roman" w:eastAsia="Garamond" w:hAnsi="Times New Roman" w:cs="Times New Roman"/>
          <w:sz w:val="24"/>
          <w:szCs w:val="24"/>
        </w:rPr>
        <w:t xml:space="preserve">textual </w:t>
      </w:r>
      <w:r w:rsidR="00A47EA0">
        <w:rPr>
          <w:rFonts w:ascii="Times New Roman" w:eastAsia="Garamond" w:hAnsi="Times New Roman" w:cs="Times New Roman"/>
          <w:sz w:val="24"/>
          <w:szCs w:val="24"/>
        </w:rPr>
        <w:t>composition histories</w:t>
      </w:r>
      <w:r w:rsidR="0089112D">
        <w:rPr>
          <w:rFonts w:ascii="Times New Roman" w:eastAsia="Garamond" w:hAnsi="Times New Roman" w:cs="Times New Roman"/>
          <w:sz w:val="24"/>
          <w:szCs w:val="24"/>
        </w:rPr>
        <w:t xml:space="preserve"> within a digital space.</w:t>
      </w:r>
      <w:r w:rsidR="00763E00">
        <w:rPr>
          <w:rFonts w:ascii="Times New Roman" w:eastAsia="Garamond" w:hAnsi="Times New Roman" w:cs="Times New Roman"/>
          <w:sz w:val="24"/>
          <w:szCs w:val="24"/>
        </w:rPr>
        <w:t xml:space="preserve"> This project uses</w:t>
      </w:r>
      <w:r w:rsidR="00802114" w:rsidRPr="00170E54">
        <w:rPr>
          <w:rFonts w:ascii="Times New Roman" w:eastAsia="Garamond" w:hAnsi="Times New Roman" w:cs="Times New Roman"/>
          <w:sz w:val="24"/>
          <w:szCs w:val="24"/>
        </w:rPr>
        <w:t xml:space="preserve"> the </w:t>
      </w:r>
      <w:r w:rsidR="0089112D" w:rsidRPr="00170E54">
        <w:rPr>
          <w:rFonts w:ascii="Times New Roman" w:eastAsia="Garamond" w:hAnsi="Times New Roman" w:cs="Times New Roman"/>
          <w:sz w:val="24"/>
          <w:szCs w:val="24"/>
        </w:rPr>
        <w:t>Text Encoding Initiative (TEI)</w:t>
      </w:r>
      <w:r w:rsidR="0089112D">
        <w:rPr>
          <w:rFonts w:ascii="Times New Roman" w:eastAsia="Garamond" w:hAnsi="Times New Roman" w:cs="Times New Roman"/>
          <w:sz w:val="24"/>
          <w:szCs w:val="24"/>
        </w:rPr>
        <w:t xml:space="preserve"> method</w:t>
      </w:r>
      <w:r w:rsidR="00802114" w:rsidRPr="00170E54">
        <w:rPr>
          <w:rFonts w:ascii="Times New Roman" w:eastAsia="Garamond" w:hAnsi="Times New Roman" w:cs="Times New Roman"/>
          <w:sz w:val="24"/>
          <w:szCs w:val="24"/>
        </w:rPr>
        <w:t>,</w:t>
      </w:r>
      <w:r w:rsidR="0089112D">
        <w:rPr>
          <w:rFonts w:ascii="Times New Roman" w:eastAsia="Garamond" w:hAnsi="Times New Roman" w:cs="Times New Roman"/>
          <w:sz w:val="24"/>
          <w:szCs w:val="24"/>
        </w:rPr>
        <w:t xml:space="preserve"> </w:t>
      </w:r>
      <w:r w:rsidR="00F84C0E">
        <w:rPr>
          <w:rFonts w:ascii="Times New Roman" w:eastAsia="Garamond" w:hAnsi="Times New Roman" w:cs="Times New Roman"/>
          <w:sz w:val="24"/>
          <w:szCs w:val="24"/>
        </w:rPr>
        <w:t xml:space="preserve">an electronic editing standard </w:t>
      </w:r>
      <w:r w:rsidR="00763E00">
        <w:rPr>
          <w:rFonts w:ascii="Times New Roman" w:eastAsia="Garamond" w:hAnsi="Times New Roman" w:cs="Times New Roman"/>
          <w:sz w:val="24"/>
          <w:szCs w:val="24"/>
        </w:rPr>
        <w:t>that allows researchers to “mark</w:t>
      </w:r>
      <w:r w:rsidR="00F84C0E">
        <w:rPr>
          <w:rFonts w:ascii="Times New Roman" w:eastAsia="Garamond" w:hAnsi="Times New Roman" w:cs="Times New Roman"/>
          <w:sz w:val="24"/>
          <w:szCs w:val="24"/>
        </w:rPr>
        <w:t xml:space="preserve"> </w:t>
      </w:r>
      <w:r w:rsidR="00763E00">
        <w:rPr>
          <w:rFonts w:ascii="Times New Roman" w:eastAsia="Garamond" w:hAnsi="Times New Roman" w:cs="Times New Roman"/>
          <w:sz w:val="24"/>
          <w:szCs w:val="24"/>
        </w:rPr>
        <w:t>up</w:t>
      </w:r>
      <w:r w:rsidR="00D51624">
        <w:rPr>
          <w:rFonts w:ascii="Times New Roman" w:eastAsia="Garamond" w:hAnsi="Times New Roman" w:cs="Times New Roman"/>
          <w:sz w:val="24"/>
          <w:szCs w:val="24"/>
        </w:rPr>
        <w:t xml:space="preserve">,” or tag, </w:t>
      </w:r>
      <w:r w:rsidR="00763E00">
        <w:rPr>
          <w:rFonts w:ascii="Times New Roman" w:eastAsia="Garamond" w:hAnsi="Times New Roman" w:cs="Times New Roman"/>
          <w:sz w:val="24"/>
          <w:szCs w:val="24"/>
        </w:rPr>
        <w:t>textual elements. Using the TEI, I mark</w:t>
      </w:r>
      <w:r w:rsidR="00F84C0E">
        <w:rPr>
          <w:rFonts w:ascii="Times New Roman" w:eastAsia="Garamond" w:hAnsi="Times New Roman" w:cs="Times New Roman"/>
          <w:sz w:val="24"/>
          <w:szCs w:val="24"/>
        </w:rPr>
        <w:t xml:space="preserve"> </w:t>
      </w:r>
      <w:r w:rsidR="00763E00">
        <w:rPr>
          <w:rFonts w:ascii="Times New Roman" w:eastAsia="Garamond" w:hAnsi="Times New Roman" w:cs="Times New Roman"/>
          <w:sz w:val="24"/>
          <w:szCs w:val="24"/>
        </w:rPr>
        <w:t>up</w:t>
      </w:r>
      <w:r w:rsidR="00170E54">
        <w:rPr>
          <w:rFonts w:ascii="Times New Roman" w:eastAsia="Garamond" w:hAnsi="Times New Roman" w:cs="Times New Roman"/>
          <w:sz w:val="24"/>
          <w:szCs w:val="24"/>
        </w:rPr>
        <w:t xml:space="preserve"> </w:t>
      </w:r>
      <w:r w:rsidR="00170E54" w:rsidRPr="00170E54">
        <w:rPr>
          <w:rFonts w:ascii="Times New Roman" w:eastAsia="Garamond" w:hAnsi="Times New Roman" w:cs="Times New Roman"/>
          <w:sz w:val="24"/>
          <w:szCs w:val="24"/>
        </w:rPr>
        <w:t xml:space="preserve">the </w:t>
      </w:r>
      <w:r w:rsidR="00802114" w:rsidRPr="00170E54">
        <w:rPr>
          <w:rFonts w:ascii="Times New Roman" w:eastAsia="Garamond" w:hAnsi="Times New Roman" w:cs="Times New Roman"/>
          <w:sz w:val="24"/>
          <w:szCs w:val="24"/>
        </w:rPr>
        <w:t xml:space="preserve">first chapter of </w:t>
      </w:r>
      <w:r w:rsidR="0089112D">
        <w:rPr>
          <w:rFonts w:ascii="Times New Roman" w:eastAsia="Garamond" w:hAnsi="Times New Roman" w:cs="Times New Roman"/>
          <w:sz w:val="24"/>
          <w:szCs w:val="24"/>
        </w:rPr>
        <w:t>Wilde’s</w:t>
      </w:r>
      <w:r w:rsidR="00170E54">
        <w:rPr>
          <w:rFonts w:ascii="Times New Roman" w:eastAsia="Garamond" w:hAnsi="Times New Roman" w:cs="Times New Roman"/>
          <w:sz w:val="24"/>
          <w:szCs w:val="24"/>
        </w:rPr>
        <w:t xml:space="preserve"> manuscript</w:t>
      </w:r>
      <w:r w:rsidR="0089112D">
        <w:rPr>
          <w:rFonts w:ascii="Times New Roman" w:eastAsia="Garamond" w:hAnsi="Times New Roman" w:cs="Times New Roman"/>
          <w:sz w:val="24"/>
          <w:szCs w:val="24"/>
        </w:rPr>
        <w:t xml:space="preserve"> of </w:t>
      </w:r>
      <w:r w:rsidR="0089112D">
        <w:rPr>
          <w:rFonts w:ascii="Times New Roman" w:eastAsia="Garamond" w:hAnsi="Times New Roman" w:cs="Times New Roman"/>
          <w:i/>
          <w:iCs/>
          <w:sz w:val="24"/>
          <w:szCs w:val="24"/>
        </w:rPr>
        <w:t>Dorian Gray</w:t>
      </w:r>
      <w:r w:rsidR="00802114" w:rsidRPr="00170E54">
        <w:rPr>
          <w:rFonts w:ascii="Times New Roman" w:eastAsia="Garamond" w:hAnsi="Times New Roman" w:cs="Times New Roman"/>
          <w:sz w:val="24"/>
          <w:szCs w:val="24"/>
        </w:rPr>
        <w:t>, which introduces the story’s three main characters, Basil Hallward, Lord Henry Wooten, and Dorian Gray.</w:t>
      </w:r>
      <w:r w:rsidR="00763E00">
        <w:rPr>
          <w:rFonts w:ascii="Times New Roman" w:eastAsia="Garamond" w:hAnsi="Times New Roman" w:cs="Times New Roman"/>
          <w:sz w:val="24"/>
          <w:szCs w:val="24"/>
        </w:rPr>
        <w:t xml:space="preserve"> </w:t>
      </w:r>
      <w:r w:rsidR="00170E54" w:rsidRPr="00170E54">
        <w:rPr>
          <w:rFonts w:ascii="Times New Roman" w:hAnsi="Times New Roman" w:cs="Times New Roman"/>
          <w:sz w:val="24"/>
          <w:szCs w:val="24"/>
        </w:rPr>
        <w:t xml:space="preserve">In </w:t>
      </w:r>
      <w:r w:rsidR="00A47EA0">
        <w:rPr>
          <w:rFonts w:ascii="Times New Roman" w:hAnsi="Times New Roman" w:cs="Times New Roman"/>
          <w:sz w:val="24"/>
          <w:szCs w:val="24"/>
        </w:rPr>
        <w:t xml:space="preserve">identifying moments of suppressed </w:t>
      </w:r>
      <w:r w:rsidR="00763E00">
        <w:rPr>
          <w:rFonts w:ascii="Times New Roman" w:hAnsi="Times New Roman" w:cs="Times New Roman"/>
          <w:sz w:val="24"/>
          <w:szCs w:val="24"/>
        </w:rPr>
        <w:t>homoeroticism</w:t>
      </w:r>
      <w:r w:rsidR="00170E54" w:rsidRPr="00170E54">
        <w:rPr>
          <w:rFonts w:ascii="Times New Roman" w:hAnsi="Times New Roman" w:cs="Times New Roman"/>
          <w:sz w:val="24"/>
          <w:szCs w:val="24"/>
        </w:rPr>
        <w:t>, I draw from debates in Textual Scholarship and Queer Historiography</w:t>
      </w:r>
      <w:r w:rsidR="00170E54">
        <w:rPr>
          <w:rFonts w:ascii="Times New Roman" w:hAnsi="Times New Roman" w:cs="Times New Roman"/>
          <w:sz w:val="24"/>
          <w:szCs w:val="24"/>
        </w:rPr>
        <w:t xml:space="preserve"> to </w:t>
      </w:r>
      <w:r w:rsidR="00763E00">
        <w:rPr>
          <w:rFonts w:ascii="Times New Roman" w:hAnsi="Times New Roman" w:cs="Times New Roman"/>
          <w:sz w:val="24"/>
          <w:szCs w:val="24"/>
        </w:rPr>
        <w:t>question</w:t>
      </w:r>
      <w:r w:rsidR="0089112D">
        <w:rPr>
          <w:rFonts w:ascii="Times New Roman" w:hAnsi="Times New Roman" w:cs="Times New Roman"/>
          <w:sz w:val="24"/>
          <w:szCs w:val="24"/>
        </w:rPr>
        <w:t xml:space="preserve"> </w:t>
      </w:r>
      <w:r w:rsidR="00170E54" w:rsidRPr="00170E54">
        <w:rPr>
          <w:rFonts w:ascii="Times New Roman" w:hAnsi="Times New Roman" w:cs="Times New Roman"/>
          <w:sz w:val="24"/>
          <w:szCs w:val="24"/>
        </w:rPr>
        <w:t xml:space="preserve">how </w:t>
      </w:r>
      <w:r w:rsidR="00170E54">
        <w:rPr>
          <w:rFonts w:ascii="Times New Roman" w:hAnsi="Times New Roman" w:cs="Times New Roman"/>
          <w:sz w:val="24"/>
          <w:szCs w:val="24"/>
        </w:rPr>
        <w:t>electronic editing</w:t>
      </w:r>
      <w:r w:rsidR="00A47EA0">
        <w:rPr>
          <w:rFonts w:ascii="Times New Roman" w:hAnsi="Times New Roman" w:cs="Times New Roman"/>
          <w:sz w:val="24"/>
          <w:szCs w:val="24"/>
        </w:rPr>
        <w:t xml:space="preserve"> with TEI</w:t>
      </w:r>
      <w:r w:rsidR="00763E00">
        <w:rPr>
          <w:rFonts w:ascii="Times New Roman" w:hAnsi="Times New Roman" w:cs="Times New Roman"/>
          <w:sz w:val="24"/>
          <w:szCs w:val="24"/>
        </w:rPr>
        <w:t xml:space="preserve"> might</w:t>
      </w:r>
      <w:r w:rsidR="00170E54">
        <w:rPr>
          <w:rFonts w:ascii="Times New Roman" w:hAnsi="Times New Roman" w:cs="Times New Roman"/>
          <w:sz w:val="24"/>
          <w:szCs w:val="24"/>
        </w:rPr>
        <w:t xml:space="preserve"> </w:t>
      </w:r>
      <w:r w:rsidR="0089112D">
        <w:rPr>
          <w:rFonts w:ascii="Times New Roman" w:hAnsi="Times New Roman" w:cs="Times New Roman"/>
          <w:sz w:val="24"/>
          <w:szCs w:val="24"/>
        </w:rPr>
        <w:t xml:space="preserve">register </w:t>
      </w:r>
      <w:r w:rsidR="00536F6F">
        <w:rPr>
          <w:rFonts w:ascii="Times New Roman" w:hAnsi="Times New Roman" w:cs="Times New Roman"/>
          <w:sz w:val="24"/>
          <w:szCs w:val="24"/>
        </w:rPr>
        <w:t xml:space="preserve">or “rescue” the </w:t>
      </w:r>
      <w:r w:rsidR="00763E00">
        <w:rPr>
          <w:rFonts w:ascii="Times New Roman" w:hAnsi="Times New Roman" w:cs="Times New Roman"/>
          <w:sz w:val="24"/>
          <w:szCs w:val="24"/>
        </w:rPr>
        <w:t xml:space="preserve">queer </w:t>
      </w:r>
      <w:proofErr w:type="spellStart"/>
      <w:r w:rsidR="00D51624">
        <w:rPr>
          <w:rFonts w:ascii="Times New Roman" w:hAnsi="Times New Roman" w:cs="Times New Roman"/>
          <w:sz w:val="24"/>
          <w:szCs w:val="24"/>
        </w:rPr>
        <w:t>affects</w:t>
      </w:r>
      <w:proofErr w:type="spellEnd"/>
      <w:r w:rsidR="00763E00">
        <w:rPr>
          <w:rFonts w:ascii="Times New Roman" w:hAnsi="Times New Roman" w:cs="Times New Roman"/>
          <w:sz w:val="24"/>
          <w:szCs w:val="24"/>
        </w:rPr>
        <w:t xml:space="preserve"> of this text.</w:t>
      </w:r>
      <w:r w:rsidR="00A47EA0" w:rsidRPr="00A47EA0">
        <w:rPr>
          <w:rFonts w:ascii="Times New Roman" w:hAnsi="Times New Roman" w:cs="Times New Roman"/>
          <w:sz w:val="24"/>
          <w:szCs w:val="24"/>
        </w:rPr>
        <w:t xml:space="preserve"> </w:t>
      </w:r>
      <w:r w:rsidR="00A47EA0">
        <w:rPr>
          <w:rFonts w:ascii="Times New Roman" w:hAnsi="Times New Roman" w:cs="Times New Roman"/>
          <w:sz w:val="24"/>
          <w:szCs w:val="24"/>
        </w:rPr>
        <w:t>My work here pushes against what I identify as TEI’s main constraint, which is its limitation for handling data that is discrete, rather than smooth or ambiguous</w:t>
      </w:r>
      <w:r w:rsidR="00BE0579">
        <w:rPr>
          <w:rFonts w:ascii="Times New Roman" w:hAnsi="Times New Roman" w:cs="Times New Roman"/>
          <w:sz w:val="24"/>
          <w:szCs w:val="24"/>
        </w:rPr>
        <w:t xml:space="preserve"> data</w:t>
      </w:r>
      <w:r w:rsidR="00A47EA0">
        <w:rPr>
          <w:rFonts w:ascii="Times New Roman" w:hAnsi="Times New Roman" w:cs="Times New Roman"/>
          <w:sz w:val="24"/>
          <w:szCs w:val="24"/>
        </w:rPr>
        <w:t>, like the homoerotic</w:t>
      </w:r>
      <w:r w:rsidR="00D51624">
        <w:rPr>
          <w:rFonts w:ascii="Times New Roman" w:hAnsi="Times New Roman" w:cs="Times New Roman"/>
          <w:sz w:val="24"/>
          <w:szCs w:val="24"/>
        </w:rPr>
        <w:t xml:space="preserve">ism of </w:t>
      </w:r>
      <w:r w:rsidR="00A47EA0">
        <w:rPr>
          <w:rFonts w:ascii="Times New Roman" w:hAnsi="Times New Roman" w:cs="Times New Roman"/>
          <w:sz w:val="24"/>
          <w:szCs w:val="24"/>
        </w:rPr>
        <w:t xml:space="preserve">this text. </w:t>
      </w:r>
      <w:r w:rsidR="00763E00">
        <w:rPr>
          <w:rFonts w:ascii="Times New Roman" w:hAnsi="Times New Roman" w:cs="Times New Roman"/>
          <w:sz w:val="24"/>
          <w:szCs w:val="24"/>
        </w:rPr>
        <w:t xml:space="preserve"> </w:t>
      </w:r>
      <w:r w:rsidR="00170E54" w:rsidRPr="00170E54">
        <w:rPr>
          <w:rFonts w:ascii="Times New Roman" w:hAnsi="Times New Roman" w:cs="Times New Roman"/>
          <w:sz w:val="24"/>
          <w:szCs w:val="24"/>
        </w:rPr>
        <w:t xml:space="preserve">I </w:t>
      </w:r>
      <w:r w:rsidR="0089112D">
        <w:rPr>
          <w:rFonts w:ascii="Times New Roman" w:hAnsi="Times New Roman" w:cs="Times New Roman"/>
          <w:sz w:val="24"/>
          <w:szCs w:val="24"/>
        </w:rPr>
        <w:t>conclude</w:t>
      </w:r>
      <w:r w:rsidR="00170E54" w:rsidRPr="00170E54">
        <w:rPr>
          <w:rFonts w:ascii="Times New Roman" w:hAnsi="Times New Roman" w:cs="Times New Roman"/>
          <w:sz w:val="24"/>
          <w:szCs w:val="24"/>
        </w:rPr>
        <w:t xml:space="preserve"> </w:t>
      </w:r>
      <w:r w:rsidR="0089112D">
        <w:rPr>
          <w:rFonts w:ascii="Times New Roman" w:hAnsi="Times New Roman" w:cs="Times New Roman"/>
          <w:sz w:val="24"/>
          <w:szCs w:val="24"/>
        </w:rPr>
        <w:t>by</w:t>
      </w:r>
      <w:r w:rsidR="00170E54" w:rsidRPr="00170E54">
        <w:rPr>
          <w:rFonts w:ascii="Times New Roman" w:hAnsi="Times New Roman" w:cs="Times New Roman"/>
          <w:sz w:val="24"/>
          <w:szCs w:val="24"/>
        </w:rPr>
        <w:t xml:space="preserve"> proposing a</w:t>
      </w:r>
      <w:r w:rsidR="00763E00">
        <w:rPr>
          <w:rFonts w:ascii="Times New Roman" w:hAnsi="Times New Roman" w:cs="Times New Roman"/>
          <w:sz w:val="24"/>
          <w:szCs w:val="24"/>
        </w:rPr>
        <w:t xml:space="preserve"> TEI </w:t>
      </w:r>
      <w:r w:rsidR="0089112D">
        <w:rPr>
          <w:rFonts w:ascii="Times New Roman" w:hAnsi="Times New Roman" w:cs="Times New Roman"/>
          <w:sz w:val="24"/>
          <w:szCs w:val="24"/>
        </w:rPr>
        <w:t>customization</w:t>
      </w:r>
      <w:r w:rsidR="00170E54" w:rsidRPr="00170E54">
        <w:rPr>
          <w:rFonts w:ascii="Times New Roman" w:hAnsi="Times New Roman" w:cs="Times New Roman"/>
          <w:sz w:val="24"/>
          <w:szCs w:val="24"/>
        </w:rPr>
        <w:t xml:space="preserve"> that marks Wilde's </w:t>
      </w:r>
      <w:r w:rsidR="00536F6F">
        <w:rPr>
          <w:rFonts w:ascii="Times New Roman" w:hAnsi="Times New Roman" w:cs="Times New Roman"/>
          <w:sz w:val="24"/>
          <w:szCs w:val="24"/>
        </w:rPr>
        <w:t>revisions</w:t>
      </w:r>
      <w:r w:rsidR="0089112D">
        <w:rPr>
          <w:rFonts w:ascii="Times New Roman" w:hAnsi="Times New Roman" w:cs="Times New Roman"/>
          <w:sz w:val="24"/>
          <w:szCs w:val="24"/>
        </w:rPr>
        <w:t xml:space="preserve"> according to the </w:t>
      </w:r>
      <w:r w:rsidR="00871494">
        <w:rPr>
          <w:rFonts w:ascii="Times New Roman" w:hAnsi="Times New Roman" w:cs="Times New Roman"/>
          <w:sz w:val="24"/>
          <w:szCs w:val="24"/>
        </w:rPr>
        <w:t>four</w:t>
      </w:r>
      <w:r w:rsidR="0089112D">
        <w:rPr>
          <w:rFonts w:ascii="Times New Roman" w:hAnsi="Times New Roman" w:cs="Times New Roman"/>
          <w:sz w:val="24"/>
          <w:szCs w:val="24"/>
        </w:rPr>
        <w:t xml:space="preserve"> </w:t>
      </w:r>
      <w:proofErr w:type="spellStart"/>
      <w:r w:rsidR="00D51624">
        <w:rPr>
          <w:rFonts w:ascii="Times New Roman" w:hAnsi="Times New Roman" w:cs="Times New Roman"/>
          <w:sz w:val="24"/>
          <w:szCs w:val="24"/>
        </w:rPr>
        <w:t>affects</w:t>
      </w:r>
      <w:proofErr w:type="spellEnd"/>
      <w:r w:rsidR="00871494">
        <w:rPr>
          <w:rFonts w:ascii="Times New Roman" w:hAnsi="Times New Roman" w:cs="Times New Roman"/>
          <w:sz w:val="24"/>
          <w:szCs w:val="24"/>
        </w:rPr>
        <w:t xml:space="preserve"> </w:t>
      </w:r>
      <w:r w:rsidR="0089112D">
        <w:rPr>
          <w:rFonts w:ascii="Times New Roman" w:hAnsi="Times New Roman" w:cs="Times New Roman"/>
          <w:sz w:val="24"/>
          <w:szCs w:val="24"/>
        </w:rPr>
        <w:t>of “intimacy,” “beauty,” “passion” and “fatality.”</w:t>
      </w:r>
      <w:r w:rsidR="00A47EA0">
        <w:rPr>
          <w:rFonts w:ascii="Times New Roman" w:hAnsi="Times New Roman" w:cs="Times New Roman"/>
          <w:sz w:val="24"/>
          <w:szCs w:val="24"/>
        </w:rPr>
        <w:t xml:space="preserve"> As an experiment </w:t>
      </w:r>
      <w:r w:rsidR="00BE0579">
        <w:rPr>
          <w:rFonts w:ascii="Times New Roman" w:hAnsi="Times New Roman" w:cs="Times New Roman"/>
          <w:sz w:val="24"/>
          <w:szCs w:val="24"/>
        </w:rPr>
        <w:t xml:space="preserve">in </w:t>
      </w:r>
      <w:r w:rsidR="00A47EA0">
        <w:rPr>
          <w:rFonts w:ascii="Times New Roman" w:hAnsi="Times New Roman" w:cs="Times New Roman"/>
          <w:sz w:val="24"/>
          <w:szCs w:val="24"/>
        </w:rPr>
        <w:t xml:space="preserve">“queer encoding,” this customization </w:t>
      </w:r>
      <w:r w:rsidR="00871494">
        <w:rPr>
          <w:rFonts w:ascii="Times New Roman" w:hAnsi="Times New Roman" w:cs="Times New Roman"/>
          <w:sz w:val="24"/>
          <w:szCs w:val="24"/>
        </w:rPr>
        <w:t>works with the strict data structure of the TEI to engage the fluidity and complexity of queer</w:t>
      </w:r>
      <w:r w:rsidR="00D51624">
        <w:rPr>
          <w:rFonts w:ascii="Times New Roman" w:hAnsi="Times New Roman" w:cs="Times New Roman"/>
          <w:sz w:val="24"/>
          <w:szCs w:val="24"/>
        </w:rPr>
        <w:t xml:space="preserve">ness </w:t>
      </w:r>
      <w:r w:rsidR="00871494">
        <w:rPr>
          <w:rFonts w:ascii="Times New Roman" w:hAnsi="Times New Roman" w:cs="Times New Roman"/>
          <w:sz w:val="24"/>
          <w:szCs w:val="24"/>
        </w:rPr>
        <w:t>in the text.</w:t>
      </w:r>
    </w:p>
    <w:p w14:paraId="584EF55D" w14:textId="77777777" w:rsidR="005D0CA9" w:rsidRDefault="005D0CA9">
      <w:pPr>
        <w:spacing w:line="480" w:lineRule="auto"/>
        <w:ind w:firstLine="720"/>
        <w:rPr>
          <w:rFonts w:ascii="Garamond" w:eastAsia="Garamond" w:hAnsi="Garamond" w:cs="Garamond"/>
          <w:sz w:val="24"/>
          <w:szCs w:val="24"/>
        </w:rPr>
      </w:pPr>
    </w:p>
    <w:p w14:paraId="6827E17A" w14:textId="77777777" w:rsidR="005D0CA9" w:rsidRDefault="005D0CA9">
      <w:pPr>
        <w:spacing w:line="480" w:lineRule="auto"/>
        <w:ind w:firstLine="720"/>
        <w:rPr>
          <w:rFonts w:ascii="Garamond" w:eastAsia="Garamond" w:hAnsi="Garamond" w:cs="Garamond"/>
          <w:sz w:val="24"/>
          <w:szCs w:val="24"/>
        </w:rPr>
      </w:pPr>
    </w:p>
    <w:p w14:paraId="5D01E65A" w14:textId="77777777" w:rsidR="005D0CA9" w:rsidRDefault="00802114">
      <w:pPr>
        <w:spacing w:after="240" w:line="480" w:lineRule="auto"/>
        <w:rPr>
          <w:rFonts w:ascii="Garamond" w:eastAsia="Garamond" w:hAnsi="Garamond" w:cs="Garamond"/>
          <w:sz w:val="24"/>
          <w:szCs w:val="24"/>
        </w:rPr>
      </w:pPr>
      <w:r>
        <w:rPr>
          <w:rFonts w:ascii="Garamond" w:eastAsia="Garamond" w:hAnsi="Garamond" w:cs="Garamond"/>
          <w:noProof/>
          <w:sz w:val="24"/>
          <w:szCs w:val="24"/>
        </w:rPr>
        <w:lastRenderedPageBreak/>
        <w:drawing>
          <wp:inline distT="114300" distB="114300" distL="114300" distR="114300" wp14:anchorId="1530C0FC" wp14:editId="0A683215">
            <wp:extent cx="5943600" cy="303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3035300"/>
                    </a:xfrm>
                    <a:prstGeom prst="rect">
                      <a:avLst/>
                    </a:prstGeom>
                    <a:ln/>
                  </pic:spPr>
                </pic:pic>
              </a:graphicData>
            </a:graphic>
          </wp:inline>
        </w:drawing>
      </w:r>
    </w:p>
    <w:p w14:paraId="2CEEED27" w14:textId="77777777" w:rsidR="005D0CA9" w:rsidRDefault="00802114">
      <w:pPr>
        <w:spacing w:after="240" w:line="480" w:lineRule="auto"/>
        <w:rPr>
          <w:rFonts w:ascii="Garamond" w:eastAsia="Garamond" w:hAnsi="Garamond" w:cs="Garamond"/>
          <w:sz w:val="24"/>
          <w:szCs w:val="24"/>
        </w:rPr>
      </w:pPr>
      <w:r>
        <w:rPr>
          <w:rFonts w:ascii="Garamond" w:eastAsia="Garamond" w:hAnsi="Garamond" w:cs="Garamond"/>
          <w:sz w:val="24"/>
          <w:szCs w:val="24"/>
        </w:rPr>
        <w:t>Figure 1: Side-by-side images of original manuscript with the electronic transcription</w:t>
      </w:r>
    </w:p>
    <w:p w14:paraId="650CBE91" w14:textId="77777777" w:rsidR="005D0CA9" w:rsidRDefault="005D0CA9">
      <w:pPr>
        <w:spacing w:line="240" w:lineRule="auto"/>
        <w:rPr>
          <w:rFonts w:ascii="Book Antiqua" w:eastAsia="Book Antiqua" w:hAnsi="Book Antiqua" w:cs="Book Antiqua"/>
        </w:rPr>
      </w:pPr>
    </w:p>
    <w:p w14:paraId="34F7B2DE" w14:textId="77777777" w:rsidR="005D0CA9" w:rsidRDefault="00802114">
      <w:pPr>
        <w:spacing w:line="480" w:lineRule="auto"/>
        <w:jc w:val="center"/>
        <w:rPr>
          <w:rFonts w:ascii="Book Antiqua" w:eastAsia="Book Antiqua" w:hAnsi="Book Antiqua" w:cs="Book Antiqua"/>
        </w:rPr>
      </w:pPr>
      <w:r>
        <w:rPr>
          <w:rFonts w:ascii="Book Antiqua" w:eastAsia="Book Antiqua" w:hAnsi="Book Antiqua" w:cs="Book Antiqua"/>
          <w:u w:val="single"/>
        </w:rPr>
        <w:t>Author Bio</w:t>
      </w:r>
    </w:p>
    <w:p w14:paraId="1D95C199" w14:textId="01F7E21E" w:rsidR="005D0CA9" w:rsidRDefault="00802114">
      <w:pPr>
        <w:spacing w:line="480" w:lineRule="auto"/>
        <w:rPr>
          <w:rFonts w:ascii="Book Antiqua" w:eastAsia="Book Antiqua" w:hAnsi="Book Antiqua" w:cs="Book Antiqua"/>
        </w:rPr>
      </w:pPr>
      <w:r>
        <w:rPr>
          <w:rFonts w:ascii="Book Antiqua" w:eastAsia="Book Antiqua" w:hAnsi="Book Antiqua" w:cs="Book Antiqua"/>
        </w:rPr>
        <w:t xml:space="preserve">Filipa is a PhD Candidate in the English program at the Graduate Center, CUNY. Her research explores the interface between digital media and queerness, and her dissertation, entitled "Queer Tools," takes a critical look at digital tools to study life writing by queer authors. She's interested in manuscripts, diaries, journals, and memoirs from the "long 20th century," including works by Oscar Wilde, Virginia Woolf, </w:t>
      </w:r>
      <w:proofErr w:type="spellStart"/>
      <w:r>
        <w:rPr>
          <w:rFonts w:ascii="Book Antiqua" w:eastAsia="Book Antiqua" w:hAnsi="Book Antiqua" w:cs="Book Antiqua"/>
        </w:rPr>
        <w:t>Djuna</w:t>
      </w:r>
      <w:proofErr w:type="spellEnd"/>
      <w:r>
        <w:rPr>
          <w:rFonts w:ascii="Book Antiqua" w:eastAsia="Book Antiqua" w:hAnsi="Book Antiqua" w:cs="Book Antiqua"/>
        </w:rPr>
        <w:t xml:space="preserve"> Barnes, Gloria Anzaldua, Alison Bechdel, Jordy Rosenberg, and Carmen Maria Machado, among others. Each chapter of her dissertation takes up one digital tool for reading, editing, and archiving, and explores how the tool might be "queered" to explore the limitations of human-technological interactions. She </w:t>
      </w:r>
      <w:r w:rsidR="000D5AE2">
        <w:rPr>
          <w:rFonts w:ascii="Book Antiqua" w:eastAsia="Book Antiqua" w:hAnsi="Book Antiqua" w:cs="Book Antiqua"/>
        </w:rPr>
        <w:t xml:space="preserve">has teaches courses on Queer and Latinx Literature, Critical Thinking, </w:t>
      </w:r>
      <w:r>
        <w:rPr>
          <w:rFonts w:ascii="Book Antiqua" w:eastAsia="Book Antiqua" w:hAnsi="Book Antiqua" w:cs="Book Antiqua"/>
        </w:rPr>
        <w:t>and Digital Methods at Hunter College and NYU.</w:t>
      </w:r>
    </w:p>
    <w:sectPr w:rsidR="005D0CA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CA9"/>
    <w:rsid w:val="0004103E"/>
    <w:rsid w:val="000D5AE2"/>
    <w:rsid w:val="00170E54"/>
    <w:rsid w:val="00366D20"/>
    <w:rsid w:val="00536F6F"/>
    <w:rsid w:val="005D0CA9"/>
    <w:rsid w:val="00763E00"/>
    <w:rsid w:val="00802114"/>
    <w:rsid w:val="00871494"/>
    <w:rsid w:val="0089112D"/>
    <w:rsid w:val="0089422A"/>
    <w:rsid w:val="00A47EA0"/>
    <w:rsid w:val="00BE0579"/>
    <w:rsid w:val="00D51624"/>
    <w:rsid w:val="00F84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99E1CD"/>
  <w15:docId w15:val="{37F163A9-983C-B342-A8D2-B3DCFF1CE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2</Pages>
  <Words>375</Words>
  <Characters>2139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Filipa  Calado</cp:lastModifiedBy>
  <cp:revision>8</cp:revision>
  <dcterms:created xsi:type="dcterms:W3CDTF">2021-09-03T20:59:00Z</dcterms:created>
  <dcterms:modified xsi:type="dcterms:W3CDTF">2022-01-16T18:02:00Z</dcterms:modified>
</cp:coreProperties>
</file>