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955FF">
      <w:pPr>
        <w:pStyle w:val="2"/>
        <w:spacing w:before="168" w:line="221" w:lineRule="auto"/>
        <w:jc w:val="center"/>
        <w:outlineLvl w:val="0"/>
        <w:rPr>
          <w:sz w:val="85"/>
          <w:szCs w:val="85"/>
          <w:highlight w:val="none"/>
        </w:rPr>
      </w:pPr>
      <w:r>
        <w:rPr>
          <w:b/>
          <w:bCs/>
          <w:spacing w:val="-36"/>
          <w:sz w:val="36"/>
          <w:szCs w:val="36"/>
          <w:highlight w:val="none"/>
        </w:rPr>
        <w:t>补</w:t>
      </w:r>
      <w:r>
        <w:rPr>
          <w:spacing w:val="78"/>
          <w:sz w:val="36"/>
          <w:szCs w:val="36"/>
          <w:highlight w:val="none"/>
        </w:rPr>
        <w:t xml:space="preserve"> </w:t>
      </w:r>
      <w:r>
        <w:rPr>
          <w:b/>
          <w:bCs/>
          <w:spacing w:val="-36"/>
          <w:sz w:val="36"/>
          <w:szCs w:val="36"/>
          <w:highlight w:val="none"/>
        </w:rPr>
        <w:t>充</w:t>
      </w:r>
      <w:r>
        <w:rPr>
          <w:spacing w:val="69"/>
          <w:sz w:val="36"/>
          <w:szCs w:val="36"/>
          <w:highlight w:val="none"/>
        </w:rPr>
        <w:t xml:space="preserve"> </w:t>
      </w:r>
      <w:r>
        <w:rPr>
          <w:b/>
          <w:bCs/>
          <w:spacing w:val="-36"/>
          <w:sz w:val="36"/>
          <w:szCs w:val="36"/>
          <w:highlight w:val="none"/>
        </w:rPr>
        <w:t>协</w:t>
      </w:r>
      <w:r>
        <w:rPr>
          <w:spacing w:val="73"/>
          <w:sz w:val="36"/>
          <w:szCs w:val="36"/>
          <w:highlight w:val="none"/>
        </w:rPr>
        <w:t xml:space="preserve"> </w:t>
      </w:r>
      <w:r>
        <w:rPr>
          <w:b/>
          <w:bCs/>
          <w:spacing w:val="-36"/>
          <w:sz w:val="36"/>
          <w:szCs w:val="36"/>
          <w:highlight w:val="none"/>
        </w:rPr>
        <w:t>议</w:t>
      </w:r>
    </w:p>
    <w:p w14:paraId="25F4169F">
      <w:pPr>
        <w:spacing w:line="285" w:lineRule="auto"/>
        <w:jc w:val="both"/>
        <w:rPr>
          <w:rFonts w:ascii="Arial"/>
          <w:sz w:val="21"/>
          <w:highlight w:val="none"/>
        </w:rPr>
      </w:pPr>
    </w:p>
    <w:p w14:paraId="00E9479A">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both"/>
        <w:textAlignment w:val="baseline"/>
        <w:rPr>
          <w:rFonts w:hint="eastAsia" w:ascii="宋体" w:hAnsi="宋体" w:eastAsia="宋体" w:cs="宋体"/>
          <w:sz w:val="24"/>
          <w:szCs w:val="24"/>
          <w:highlight w:val="none"/>
        </w:rPr>
      </w:pPr>
      <w:r>
        <w:rPr>
          <w:rFonts w:hint="eastAsia" w:ascii="宋体" w:hAnsi="宋体" w:eastAsia="宋体" w:cs="宋体"/>
          <w:sz w:val="24"/>
          <w:szCs w:val="24"/>
          <w:highlight w:val="none"/>
        </w:rPr>
        <w:t>甲方：Cloud Boat INC</w:t>
      </w:r>
    </w:p>
    <w:p w14:paraId="77873850">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both"/>
        <w:textAlignment w:val="baseline"/>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rPr>
        <w:t>住所地：深圳市龙岗区坂田街道南坑社区雅宝路1号星河WORLD F栋大厦2506B</w:t>
      </w:r>
    </w:p>
    <w:p w14:paraId="223D4E94">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both"/>
        <w:textAlignment w:val="baseline"/>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rPr>
        <w:t>联系人</w:t>
      </w:r>
      <w:r>
        <w:rPr>
          <w:rFonts w:hint="eastAsia" w:ascii="宋体" w:hAnsi="宋体" w:eastAsia="宋体" w:cs="宋体"/>
          <w:sz w:val="24"/>
          <w:szCs w:val="24"/>
          <w:highlight w:val="none"/>
        </w:rPr>
        <w:t>：刘文平</w:t>
      </w:r>
    </w:p>
    <w:p w14:paraId="675EC71D">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both"/>
        <w:textAlignment w:val="baseline"/>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rPr>
        <w:t>联系电话：</w:t>
      </w:r>
      <w:r>
        <w:rPr>
          <w:rFonts w:hint="eastAsia" w:ascii="宋体" w:hAnsi="宋体" w:eastAsia="宋体" w:cs="宋体"/>
          <w:sz w:val="24"/>
          <w:szCs w:val="24"/>
          <w:highlight w:val="none"/>
          <w:lang w:val="en-US" w:eastAsia="zh-CN"/>
        </w:rPr>
        <w:t xml:space="preserve"> </w:t>
      </w:r>
    </w:p>
    <w:p w14:paraId="364D2C24">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both"/>
        <w:textAlignment w:val="baseline"/>
        <w:rPr>
          <w:rFonts w:hint="eastAsia" w:ascii="宋体" w:hAnsi="宋体" w:eastAsia="宋体" w:cs="宋体"/>
          <w:sz w:val="24"/>
          <w:szCs w:val="24"/>
          <w:highlight w:val="none"/>
        </w:rPr>
      </w:pPr>
      <w:r>
        <w:rPr>
          <w:rFonts w:hint="eastAsia" w:ascii="宋体" w:hAnsi="宋体" w:eastAsia="宋体" w:cs="宋体"/>
          <w:sz w:val="24"/>
          <w:szCs w:val="24"/>
          <w:highlight w:val="none"/>
        </w:rPr>
        <w:t>电子邮箱：</w:t>
      </w:r>
    </w:p>
    <w:p w14:paraId="39701144">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宋体" w:hAnsi="宋体" w:eastAsia="宋体" w:cs="宋体"/>
          <w:sz w:val="24"/>
          <w:szCs w:val="24"/>
          <w:highlight w:val="none"/>
        </w:rPr>
      </w:pPr>
    </w:p>
    <w:p w14:paraId="40D26173">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both"/>
        <w:textAlignment w:val="baseline"/>
        <w:rPr>
          <w:rFonts w:hint="eastAsia" w:ascii="宋体" w:hAnsi="宋体" w:eastAsia="宋体" w:cs="宋体"/>
          <w:sz w:val="24"/>
          <w:szCs w:val="24"/>
          <w:highlight w:val="none"/>
        </w:rPr>
      </w:pPr>
      <w:r>
        <w:rPr>
          <w:rFonts w:hint="eastAsia" w:ascii="宋体" w:hAnsi="宋体" w:eastAsia="宋体" w:cs="宋体"/>
          <w:sz w:val="24"/>
          <w:szCs w:val="24"/>
          <w:highlight w:val="none"/>
        </w:rPr>
        <w:t>乙方：</w:t>
      </w:r>
    </w:p>
    <w:p w14:paraId="45247C59">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both"/>
        <w:textAlignment w:val="baseline"/>
        <w:rPr>
          <w:rFonts w:hint="eastAsia" w:ascii="宋体" w:hAnsi="宋体" w:eastAsia="宋体" w:cs="宋体"/>
          <w:sz w:val="24"/>
          <w:szCs w:val="24"/>
          <w:highlight w:val="none"/>
        </w:rPr>
      </w:pPr>
      <w:r>
        <w:rPr>
          <w:rFonts w:hint="eastAsia" w:ascii="宋体" w:hAnsi="宋体" w:eastAsia="宋体" w:cs="宋体"/>
          <w:sz w:val="24"/>
          <w:szCs w:val="24"/>
          <w:highlight w:val="none"/>
        </w:rPr>
        <w:t>住所地：</w:t>
      </w:r>
    </w:p>
    <w:p w14:paraId="7FDEAB99">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both"/>
        <w:textAlignment w:val="baseline"/>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rPr>
        <w:t>联系人</w:t>
      </w:r>
      <w:r>
        <w:rPr>
          <w:rFonts w:hint="eastAsia" w:ascii="宋体" w:hAnsi="宋体" w:eastAsia="宋体" w:cs="宋体"/>
          <w:sz w:val="24"/>
          <w:szCs w:val="24"/>
          <w:highlight w:val="none"/>
        </w:rPr>
        <w:t>：</w:t>
      </w:r>
    </w:p>
    <w:p w14:paraId="165C5CFA">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both"/>
        <w:textAlignment w:val="baseline"/>
        <w:rPr>
          <w:rFonts w:hint="eastAsia" w:ascii="宋体" w:hAnsi="宋体" w:eastAsia="宋体" w:cs="宋体"/>
          <w:sz w:val="24"/>
          <w:szCs w:val="24"/>
          <w:highlight w:val="none"/>
        </w:rPr>
      </w:pPr>
      <w:r>
        <w:rPr>
          <w:rFonts w:hint="eastAsia" w:ascii="宋体" w:hAnsi="宋体" w:eastAsia="宋体" w:cs="宋体"/>
          <w:sz w:val="24"/>
          <w:szCs w:val="24"/>
          <w:highlight w:val="none"/>
        </w:rPr>
        <w:t>联系电话：</w:t>
      </w:r>
    </w:p>
    <w:p w14:paraId="268DDBAB">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both"/>
        <w:textAlignment w:val="baseline"/>
        <w:rPr>
          <w:rFonts w:hint="eastAsia" w:ascii="宋体" w:hAnsi="宋体" w:eastAsia="宋体" w:cs="宋体"/>
          <w:sz w:val="24"/>
          <w:szCs w:val="24"/>
          <w:highlight w:val="none"/>
        </w:rPr>
      </w:pPr>
      <w:r>
        <w:rPr>
          <w:rFonts w:hint="eastAsia" w:ascii="宋体" w:hAnsi="宋体" w:eastAsia="宋体" w:cs="宋体"/>
          <w:sz w:val="24"/>
          <w:szCs w:val="24"/>
          <w:highlight w:val="none"/>
        </w:rPr>
        <w:t>电子邮箱：</w:t>
      </w:r>
    </w:p>
    <w:p w14:paraId="4B97B475">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both"/>
        <w:textAlignment w:val="baseline"/>
        <w:rPr>
          <w:rFonts w:hint="eastAsia" w:ascii="宋体" w:hAnsi="宋体" w:eastAsia="宋体" w:cs="宋体"/>
          <w:sz w:val="24"/>
          <w:szCs w:val="24"/>
          <w:highlight w:val="none"/>
        </w:rPr>
      </w:pPr>
    </w:p>
    <w:p w14:paraId="50C484CF">
      <w:pPr>
        <w:pStyle w:val="2"/>
        <w:keepNext w:val="0"/>
        <w:keepLines w:val="0"/>
        <w:pageBreakBefore w:val="0"/>
        <w:widowControl/>
        <w:kinsoku w:val="0"/>
        <w:wordWrap/>
        <w:overflowPunct/>
        <w:topLinePunct w:val="0"/>
        <w:autoSpaceDE w:val="0"/>
        <w:autoSpaceDN w:val="0"/>
        <w:bidi w:val="0"/>
        <w:adjustRightInd w:val="0"/>
        <w:snapToGrid w:val="0"/>
        <w:spacing w:before="315" w:line="360" w:lineRule="auto"/>
        <w:ind w:right="91" w:firstLine="692" w:firstLineChars="200"/>
        <w:jc w:val="both"/>
        <w:textAlignment w:val="baseline"/>
        <w:rPr>
          <w:rFonts w:hint="eastAsia" w:ascii="宋体" w:hAnsi="宋体" w:eastAsia="宋体" w:cs="宋体"/>
          <w:sz w:val="24"/>
          <w:szCs w:val="24"/>
          <w:highlight w:val="none"/>
        </w:rPr>
      </w:pPr>
      <w:r>
        <w:rPr>
          <w:rFonts w:hint="eastAsia" w:ascii="宋体" w:hAnsi="宋体" w:eastAsia="宋体" w:cs="宋体"/>
          <w:spacing w:val="53"/>
          <w:sz w:val="24"/>
          <w:szCs w:val="24"/>
          <w:highlight w:val="none"/>
        </w:rPr>
        <w:t>甲乙双方于</w:t>
      </w:r>
      <w:r>
        <w:rPr>
          <w:rFonts w:hint="eastAsia" w:cs="宋体"/>
          <w:spacing w:val="53"/>
          <w:sz w:val="24"/>
          <w:szCs w:val="24"/>
          <w:highlight w:val="none"/>
          <w:u w:val="single"/>
          <w:lang w:val="en-US" w:eastAsia="zh-CN"/>
        </w:rPr>
        <w:t xml:space="preserve">  </w:t>
      </w:r>
      <w:r>
        <w:rPr>
          <w:rFonts w:hint="eastAsia" w:ascii="宋体" w:hAnsi="宋体" w:eastAsia="宋体" w:cs="宋体"/>
          <w:spacing w:val="-23"/>
          <w:sz w:val="24"/>
          <w:szCs w:val="24"/>
          <w:highlight w:val="none"/>
          <w:u w:val="single"/>
        </w:rPr>
        <w:t xml:space="preserve"> </w:t>
      </w:r>
      <w:r>
        <w:rPr>
          <w:rFonts w:hint="eastAsia" w:ascii="宋体" w:hAnsi="宋体" w:eastAsia="宋体" w:cs="宋体"/>
          <w:spacing w:val="53"/>
          <w:sz w:val="24"/>
          <w:szCs w:val="24"/>
          <w:highlight w:val="none"/>
        </w:rPr>
        <w:t>年</w:t>
      </w:r>
      <w:r>
        <w:rPr>
          <w:rFonts w:hint="eastAsia" w:cs="宋体"/>
          <w:spacing w:val="53"/>
          <w:sz w:val="24"/>
          <w:szCs w:val="24"/>
          <w:highlight w:val="none"/>
          <w:u w:val="single"/>
          <w:lang w:val="en-US" w:eastAsia="zh-CN"/>
        </w:rPr>
        <w:t xml:space="preserve">  </w:t>
      </w:r>
      <w:r>
        <w:rPr>
          <w:rFonts w:hint="eastAsia" w:ascii="宋体" w:hAnsi="宋体" w:eastAsia="宋体" w:cs="宋体"/>
          <w:spacing w:val="53"/>
          <w:sz w:val="24"/>
          <w:szCs w:val="24"/>
          <w:highlight w:val="none"/>
        </w:rPr>
        <w:t>月</w:t>
      </w:r>
      <w:r>
        <w:rPr>
          <w:rFonts w:hint="eastAsia" w:cs="宋体"/>
          <w:spacing w:val="53"/>
          <w:sz w:val="24"/>
          <w:szCs w:val="24"/>
          <w:highlight w:val="none"/>
          <w:u w:val="single"/>
          <w:lang w:val="en-US" w:eastAsia="zh-CN"/>
        </w:rPr>
        <w:t xml:space="preserve">  </w:t>
      </w:r>
      <w:r>
        <w:rPr>
          <w:rFonts w:hint="eastAsia" w:ascii="宋体" w:hAnsi="宋体" w:eastAsia="宋体" w:cs="宋体"/>
          <w:spacing w:val="53"/>
          <w:sz w:val="24"/>
          <w:szCs w:val="24"/>
          <w:highlight w:val="none"/>
        </w:rPr>
        <w:t>日签订《合作协议书》(以下简称“原合同”),现双方</w:t>
      </w:r>
      <w:r>
        <w:rPr>
          <w:rFonts w:hint="eastAsia" w:ascii="宋体" w:hAnsi="宋体" w:eastAsia="宋体" w:cs="宋体"/>
          <w:spacing w:val="23"/>
          <w:sz w:val="24"/>
          <w:szCs w:val="24"/>
          <w:highlight w:val="none"/>
        </w:rPr>
        <w:t>在原合同基础上新增合同条款</w:t>
      </w:r>
      <w:r>
        <w:rPr>
          <w:rFonts w:hint="eastAsia" w:cs="宋体"/>
          <w:spacing w:val="23"/>
          <w:sz w:val="24"/>
          <w:szCs w:val="24"/>
          <w:highlight w:val="none"/>
          <w:lang w:val="en-US" w:eastAsia="zh-CN"/>
        </w:rPr>
        <w:t>结算方式</w:t>
      </w:r>
      <w:r>
        <w:rPr>
          <w:rFonts w:hint="eastAsia" w:ascii="宋体" w:hAnsi="宋体" w:eastAsia="宋体" w:cs="宋体"/>
          <w:spacing w:val="23"/>
          <w:sz w:val="24"/>
          <w:szCs w:val="24"/>
          <w:highlight w:val="none"/>
        </w:rPr>
        <w:t>部分内容，特订</w:t>
      </w:r>
      <w:r>
        <w:rPr>
          <w:rFonts w:hint="eastAsia" w:ascii="宋体" w:hAnsi="宋体" w:eastAsia="宋体" w:cs="宋体"/>
          <w:spacing w:val="22"/>
          <w:sz w:val="24"/>
          <w:szCs w:val="24"/>
          <w:highlight w:val="none"/>
        </w:rPr>
        <w:t>立以下补充协议：</w:t>
      </w:r>
    </w:p>
    <w:p w14:paraId="6CC754B2">
      <w:pPr>
        <w:pStyle w:val="2"/>
        <w:keepNext w:val="0"/>
        <w:keepLines w:val="0"/>
        <w:pageBreakBefore w:val="0"/>
        <w:widowControl/>
        <w:kinsoku w:val="0"/>
        <w:wordWrap/>
        <w:overflowPunct/>
        <w:topLinePunct w:val="0"/>
        <w:autoSpaceDE w:val="0"/>
        <w:autoSpaceDN w:val="0"/>
        <w:bidi w:val="0"/>
        <w:adjustRightInd w:val="0"/>
        <w:snapToGrid w:val="0"/>
        <w:spacing w:before="295" w:line="360" w:lineRule="auto"/>
        <w:ind w:left="19" w:firstLine="504" w:firstLineChars="200"/>
        <w:jc w:val="both"/>
        <w:textAlignment w:val="baseline"/>
        <w:rPr>
          <w:rFonts w:hint="eastAsia" w:ascii="宋体" w:hAnsi="宋体" w:eastAsia="宋体" w:cs="宋体"/>
          <w:sz w:val="24"/>
          <w:szCs w:val="24"/>
          <w:highlight w:val="none"/>
        </w:rPr>
      </w:pPr>
      <w:r>
        <w:rPr>
          <w:rFonts w:hint="eastAsia" w:ascii="宋体" w:hAnsi="宋体" w:eastAsia="宋体" w:cs="宋体"/>
          <w:spacing w:val="6"/>
          <w:sz w:val="24"/>
          <w:szCs w:val="24"/>
          <w:highlight w:val="none"/>
        </w:rPr>
        <w:t>一</w:t>
      </w:r>
      <w:r>
        <w:rPr>
          <w:rFonts w:hint="eastAsia" w:ascii="宋体" w:hAnsi="宋体" w:eastAsia="宋体" w:cs="宋体"/>
          <w:spacing w:val="-84"/>
          <w:sz w:val="24"/>
          <w:szCs w:val="24"/>
          <w:highlight w:val="none"/>
        </w:rPr>
        <w:t xml:space="preserve"> </w:t>
      </w:r>
      <w:r>
        <w:rPr>
          <w:rFonts w:hint="eastAsia" w:ascii="宋体" w:hAnsi="宋体" w:eastAsia="宋体" w:cs="宋体"/>
          <w:spacing w:val="6"/>
          <w:sz w:val="24"/>
          <w:szCs w:val="24"/>
          <w:highlight w:val="none"/>
        </w:rPr>
        <w:t>、新增条款内容为：</w:t>
      </w:r>
    </w:p>
    <w:p w14:paraId="306AE3F5">
      <w:pPr>
        <w:pStyle w:val="2"/>
        <w:keepNext w:val="0"/>
        <w:keepLines w:val="0"/>
        <w:pageBreakBefore w:val="0"/>
        <w:widowControl/>
        <w:numPr>
          <w:ilvl w:val="0"/>
          <w:numId w:val="1"/>
        </w:numPr>
        <w:kinsoku w:val="0"/>
        <w:wordWrap/>
        <w:overflowPunct/>
        <w:topLinePunct w:val="0"/>
        <w:autoSpaceDE w:val="0"/>
        <w:autoSpaceDN w:val="0"/>
        <w:bidi w:val="0"/>
        <w:adjustRightInd w:val="0"/>
        <w:snapToGrid w:val="0"/>
        <w:spacing w:before="140" w:line="360" w:lineRule="auto"/>
        <w:ind w:left="19" w:right="153" w:firstLine="628" w:firstLineChars="200"/>
        <w:jc w:val="both"/>
        <w:textAlignment w:val="baseline"/>
        <w:rPr>
          <w:rFonts w:hint="eastAsia" w:ascii="宋体" w:hAnsi="宋体" w:eastAsia="宋体" w:cs="宋体"/>
          <w:spacing w:val="37"/>
          <w:sz w:val="24"/>
          <w:szCs w:val="24"/>
          <w:highlight w:val="none"/>
        </w:rPr>
      </w:pPr>
      <w:r>
        <w:rPr>
          <w:rFonts w:hint="eastAsia" w:cs="宋体"/>
          <w:spacing w:val="37"/>
          <w:sz w:val="24"/>
          <w:szCs w:val="24"/>
          <w:highlight w:val="none"/>
          <w:lang w:val="en-US" w:eastAsia="zh-CN"/>
        </w:rPr>
        <w:t xml:space="preserve">(5) </w:t>
      </w:r>
      <w:r>
        <w:rPr>
          <w:rFonts w:hint="eastAsia" w:ascii="宋体" w:hAnsi="宋体" w:eastAsia="宋体" w:cs="宋体"/>
          <w:spacing w:val="37"/>
          <w:sz w:val="24"/>
          <w:szCs w:val="24"/>
          <w:highlight w:val="none"/>
        </w:rPr>
        <w:t>高价值产品保证金及结算方式约定</w:t>
      </w:r>
    </w:p>
    <w:p w14:paraId="13A71E42">
      <w:pPr>
        <w:widowControl w:val="0"/>
        <w:numPr>
          <w:ilvl w:val="2"/>
          <w:numId w:val="2"/>
        </w:numPr>
        <w:kinsoku/>
        <w:autoSpaceDE/>
        <w:autoSpaceDN/>
        <w:adjustRightInd/>
        <w:snapToGrid/>
        <w:spacing w:line="400" w:lineRule="exact"/>
        <w:ind w:left="1260" w:leftChars="0" w:hanging="420" w:firstLineChars="0"/>
        <w:jc w:val="both"/>
        <w:textAlignment w:val="auto"/>
        <w:rPr>
          <w:rFonts w:hint="eastAsia" w:ascii="宋体" w:hAnsi="宋体" w:eastAsia="宋体" w:cs="宋体"/>
          <w:spacing w:val="24"/>
          <w:sz w:val="24"/>
          <w:szCs w:val="24"/>
          <w:highlight w:val="none"/>
          <w:lang w:val="en-US" w:eastAsia="zh-CN"/>
        </w:rPr>
      </w:pPr>
      <w:r>
        <w:rPr>
          <w:rFonts w:hint="eastAsia" w:ascii="宋体" w:hAnsi="宋体" w:eastAsia="宋体" w:cs="宋体"/>
          <w:spacing w:val="24"/>
          <w:sz w:val="24"/>
          <w:szCs w:val="24"/>
          <w:highlight w:val="none"/>
          <w:lang w:val="en-US" w:eastAsia="zh-CN"/>
        </w:rPr>
        <w:t>合作过程中，如乙方通过 CloudBoat 平台出库的单个产品平台采购价高于 500 美元（USD 500）（以下简称“高价值产品”），双方一致同意就该等高价值产品适用保证金暂扣及保证金结算周期调整机制。</w:t>
      </w:r>
    </w:p>
    <w:p w14:paraId="376774E8">
      <w:pPr>
        <w:widowControl w:val="0"/>
        <w:numPr>
          <w:ilvl w:val="2"/>
          <w:numId w:val="2"/>
        </w:numPr>
        <w:kinsoku/>
        <w:autoSpaceDE/>
        <w:autoSpaceDN/>
        <w:adjustRightInd/>
        <w:snapToGrid/>
        <w:spacing w:line="400" w:lineRule="exact"/>
        <w:ind w:left="1260" w:leftChars="0" w:hanging="420" w:firstLineChars="0"/>
        <w:jc w:val="both"/>
        <w:textAlignment w:val="auto"/>
        <w:rPr>
          <w:rFonts w:hint="eastAsia" w:ascii="宋体" w:hAnsi="宋体" w:eastAsia="宋体" w:cs="宋体"/>
          <w:spacing w:val="24"/>
          <w:sz w:val="24"/>
          <w:szCs w:val="24"/>
          <w:highlight w:val="none"/>
          <w:lang w:val="en-US" w:eastAsia="zh-CN"/>
        </w:rPr>
      </w:pPr>
      <w:r>
        <w:rPr>
          <w:rFonts w:hint="eastAsia" w:ascii="宋体" w:hAnsi="宋体" w:eastAsia="宋体" w:cs="宋体"/>
          <w:spacing w:val="24"/>
          <w:sz w:val="24"/>
          <w:szCs w:val="24"/>
          <w:highlight w:val="none"/>
          <w:lang w:eastAsia="zh-CN"/>
        </w:rPr>
        <w:t>针对高价值产品，甲方有权将乙方的首款结算比例由原70%降低至60%，</w:t>
      </w:r>
      <w:r>
        <w:rPr>
          <w:rFonts w:hint="eastAsia" w:ascii="宋体" w:hAnsi="宋体" w:eastAsia="宋体" w:cs="宋体"/>
          <w:spacing w:val="24"/>
          <w:sz w:val="24"/>
          <w:szCs w:val="24"/>
          <w:highlight w:val="none"/>
          <w:lang w:val="en-US" w:eastAsia="zh-CN"/>
        </w:rPr>
        <w:t>尾款结算比例由30%上调至40%，</w:t>
      </w:r>
      <w:r>
        <w:rPr>
          <w:rFonts w:hint="eastAsia" w:ascii="宋体" w:hAnsi="宋体" w:eastAsia="宋体" w:cs="宋体"/>
          <w:spacing w:val="24"/>
          <w:sz w:val="24"/>
          <w:szCs w:val="24"/>
          <w:highlight w:val="none"/>
          <w:lang w:eastAsia="zh-CN"/>
        </w:rPr>
        <w:t>差额部分作为保证金暂扣款，用于覆盖可能产生的退货运费、手续费、退货损失、乙方违约金及其它相关损失</w:t>
      </w:r>
      <w:r>
        <w:rPr>
          <w:rFonts w:hint="eastAsia" w:ascii="宋体" w:hAnsi="宋体" w:eastAsia="宋体" w:cs="宋体"/>
          <w:spacing w:val="24"/>
          <w:sz w:val="24"/>
          <w:szCs w:val="24"/>
          <w:highlight w:val="none"/>
          <w:lang w:val="en-US" w:eastAsia="zh-CN"/>
        </w:rPr>
        <w:t>。</w:t>
      </w:r>
    </w:p>
    <w:p w14:paraId="64AEB455">
      <w:pPr>
        <w:widowControl w:val="0"/>
        <w:numPr>
          <w:ilvl w:val="3"/>
          <w:numId w:val="2"/>
        </w:numPr>
        <w:kinsoku/>
        <w:autoSpaceDE/>
        <w:autoSpaceDN/>
        <w:adjustRightInd/>
        <w:snapToGrid/>
        <w:spacing w:line="400" w:lineRule="exact"/>
        <w:ind w:left="1680" w:leftChars="0" w:hanging="420" w:firstLineChars="0"/>
        <w:jc w:val="both"/>
        <w:textAlignment w:val="auto"/>
        <w:rPr>
          <w:rFonts w:hint="default" w:ascii="宋体" w:hAnsi="宋体" w:eastAsia="宋体" w:cs="宋体"/>
          <w:spacing w:val="24"/>
          <w:sz w:val="24"/>
          <w:szCs w:val="24"/>
          <w:highlight w:val="none"/>
          <w:lang w:val="en-US" w:eastAsia="zh-CN"/>
        </w:rPr>
      </w:pPr>
      <w:r>
        <w:rPr>
          <w:rFonts w:hint="eastAsia" w:ascii="宋体" w:hAnsi="宋体" w:eastAsia="宋体" w:cs="宋体"/>
          <w:spacing w:val="24"/>
          <w:sz w:val="24"/>
          <w:szCs w:val="24"/>
          <w:highlight w:val="none"/>
          <w:lang w:val="en-US" w:eastAsia="zh-CN"/>
        </w:rPr>
        <w:t>本条所说的退货的运费和手续费是指供应商需支付退货运费和处理费，客户退货运费不包含其中。退货处理费按退货商品成本的一定比例收取，用于支付亚马逊的逆向物流成本。</w:t>
      </w:r>
    </w:p>
    <w:p w14:paraId="2929519D">
      <w:pPr>
        <w:widowControl w:val="0"/>
        <w:numPr>
          <w:ilvl w:val="3"/>
          <w:numId w:val="2"/>
        </w:numPr>
        <w:kinsoku/>
        <w:autoSpaceDE/>
        <w:autoSpaceDN/>
        <w:adjustRightInd/>
        <w:snapToGrid/>
        <w:spacing w:line="400" w:lineRule="exact"/>
        <w:ind w:left="1680" w:leftChars="0" w:hanging="420" w:firstLineChars="0"/>
        <w:jc w:val="both"/>
        <w:textAlignment w:val="auto"/>
        <w:rPr>
          <w:rFonts w:ascii="宋体" w:hAnsi="宋体" w:eastAsia="宋体" w:cs="宋体"/>
          <w:sz w:val="24"/>
          <w:szCs w:val="24"/>
        </w:rPr>
      </w:pPr>
      <w:r>
        <w:rPr>
          <w:rFonts w:ascii="宋体" w:hAnsi="宋体" w:eastAsia="宋体" w:cs="宋体"/>
          <w:b w:val="0"/>
          <w:bCs w:val="0"/>
          <w:sz w:val="24"/>
          <w:szCs w:val="24"/>
        </w:rPr>
        <w:t>本条所称“</w:t>
      </w:r>
      <w:r>
        <w:rPr>
          <w:rStyle w:val="6"/>
          <w:rFonts w:ascii="宋体" w:hAnsi="宋体" w:eastAsia="宋体" w:cs="宋体"/>
          <w:b w:val="0"/>
          <w:bCs w:val="0"/>
          <w:sz w:val="24"/>
          <w:szCs w:val="24"/>
        </w:rPr>
        <w:t>退货</w:t>
      </w:r>
      <w:r>
        <w:rPr>
          <w:rFonts w:ascii="宋体" w:hAnsi="宋体" w:eastAsia="宋体" w:cs="宋体"/>
          <w:b w:val="0"/>
          <w:bCs w:val="0"/>
          <w:sz w:val="24"/>
          <w:szCs w:val="24"/>
        </w:rPr>
        <w:t>”包括</w:t>
      </w:r>
      <w:r>
        <w:rPr>
          <w:rFonts w:ascii="宋体" w:hAnsi="宋体" w:eastAsia="宋体" w:cs="宋体"/>
          <w:sz w:val="24"/>
          <w:szCs w:val="24"/>
        </w:rPr>
        <w:t>但不限于以下情况：</w:t>
      </w:r>
    </w:p>
    <w:p w14:paraId="0AC59A72">
      <w:pPr>
        <w:widowControl w:val="0"/>
        <w:numPr>
          <w:ilvl w:val="4"/>
          <w:numId w:val="2"/>
        </w:numPr>
        <w:kinsoku/>
        <w:autoSpaceDE/>
        <w:autoSpaceDN/>
        <w:adjustRightInd/>
        <w:snapToGrid/>
        <w:spacing w:line="400" w:lineRule="exact"/>
        <w:ind w:left="210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滞销退货（Overstock / Advantage Stock）</w:t>
      </w:r>
    </w:p>
    <w:p w14:paraId="26FD88EF">
      <w:pPr>
        <w:widowControl w:val="0"/>
        <w:numPr>
          <w:ilvl w:val="0"/>
          <w:numId w:val="0"/>
        </w:numPr>
        <w:kinsoku/>
        <w:autoSpaceDE/>
        <w:autoSpaceDN/>
        <w:adjustRightInd/>
        <w:snapToGrid/>
        <w:spacing w:line="400" w:lineRule="exact"/>
        <w:ind w:left="1260" w:leftChars="0" w:firstLine="497"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产品本身未损坏或无质量问题，但因市场需求不足、库存积压或平台库存优化政策导致的退回或清退；</w:t>
      </w:r>
    </w:p>
    <w:p w14:paraId="2A1F34A1">
      <w:pPr>
        <w:widowControl w:val="0"/>
        <w:numPr>
          <w:ilvl w:val="4"/>
          <w:numId w:val="2"/>
        </w:numPr>
        <w:kinsoku/>
        <w:autoSpaceDE/>
        <w:autoSpaceDN/>
        <w:adjustRightInd/>
        <w:snapToGrid/>
        <w:spacing w:line="400" w:lineRule="exact"/>
        <w:ind w:left="210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w:t>
      </w:r>
      <w:r>
        <w:rPr>
          <w:rFonts w:ascii="宋体" w:hAnsi="宋体" w:eastAsia="宋体" w:cs="宋体"/>
          <w:sz w:val="24"/>
          <w:szCs w:val="24"/>
        </w:rPr>
        <w:t>损坏退货（Customer Damaged）</w:t>
      </w:r>
    </w:p>
    <w:p w14:paraId="019609C0">
      <w:pPr>
        <w:widowControl w:val="0"/>
        <w:numPr>
          <w:ilvl w:val="0"/>
          <w:numId w:val="0"/>
        </w:numPr>
        <w:kinsoku/>
        <w:autoSpaceDE/>
        <w:autoSpaceDN/>
        <w:adjustRightInd/>
        <w:snapToGrid/>
        <w:spacing w:line="400" w:lineRule="exact"/>
        <w:ind w:left="1260" w:leftChars="0" w:firstLine="497"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产品被消费者退回后已无法以全新状态再次销售，包括但不限于出现使用痕迹、磨损、物理损伤，或包装被开启、封签破坏、产品被试用或测试等情形；</w:t>
      </w:r>
    </w:p>
    <w:p w14:paraId="06A23877">
      <w:pPr>
        <w:widowControl w:val="0"/>
        <w:numPr>
          <w:ilvl w:val="4"/>
          <w:numId w:val="2"/>
        </w:numPr>
        <w:kinsoku/>
        <w:autoSpaceDE/>
        <w:autoSpaceDN/>
        <w:adjustRightInd/>
        <w:snapToGrid/>
        <w:spacing w:line="400" w:lineRule="exact"/>
        <w:ind w:left="210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物流运输损坏（Carrier Damaged）</w:t>
      </w:r>
    </w:p>
    <w:p w14:paraId="5F634477">
      <w:pPr>
        <w:widowControl w:val="0"/>
        <w:numPr>
          <w:ilvl w:val="0"/>
          <w:numId w:val="0"/>
        </w:numPr>
        <w:kinsoku/>
        <w:autoSpaceDE/>
        <w:autoSpaceDN/>
        <w:adjustRightInd/>
        <w:snapToGrid/>
        <w:spacing w:line="400" w:lineRule="exact"/>
        <w:ind w:left="1260" w:leftChars="0" w:firstLine="497"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产品在配送至消费者过程中，或消费者退回平台过程中，于运输或交付环节发生损坏；</w:t>
      </w:r>
    </w:p>
    <w:p w14:paraId="032B62C5">
      <w:pPr>
        <w:widowControl w:val="0"/>
        <w:numPr>
          <w:ilvl w:val="4"/>
          <w:numId w:val="2"/>
        </w:numPr>
        <w:kinsoku/>
        <w:autoSpaceDE/>
        <w:autoSpaceDN/>
        <w:adjustRightInd/>
        <w:snapToGrid/>
        <w:spacing w:line="400" w:lineRule="exact"/>
        <w:ind w:left="210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质量或功能缺陷退货（Defective）</w:t>
      </w:r>
    </w:p>
    <w:p w14:paraId="6E57CAAF">
      <w:pPr>
        <w:widowControl w:val="0"/>
        <w:numPr>
          <w:ilvl w:val="0"/>
          <w:numId w:val="0"/>
        </w:numPr>
        <w:kinsoku/>
        <w:autoSpaceDE/>
        <w:autoSpaceDN/>
        <w:adjustRightInd/>
        <w:snapToGrid/>
        <w:spacing w:line="400" w:lineRule="exact"/>
        <w:ind w:left="1260" w:leftChars="0" w:firstLine="497"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消费者因产品存在质量问题、制造缺陷、功能异常、与描述不符、不兼容、缺少配件或说明文件等原因提出退货；</w:t>
      </w:r>
    </w:p>
    <w:p w14:paraId="2D22158D">
      <w:pPr>
        <w:widowControl w:val="0"/>
        <w:numPr>
          <w:ilvl w:val="4"/>
          <w:numId w:val="2"/>
        </w:numPr>
        <w:kinsoku/>
        <w:autoSpaceDE/>
        <w:autoSpaceDN/>
        <w:adjustRightInd/>
        <w:snapToGrid/>
        <w:spacing w:line="400" w:lineRule="exact"/>
        <w:ind w:left="210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过期产品（Expired）</w:t>
      </w:r>
    </w:p>
    <w:p w14:paraId="33C7B935">
      <w:pPr>
        <w:widowControl w:val="0"/>
        <w:numPr>
          <w:ilvl w:val="0"/>
          <w:numId w:val="0"/>
        </w:numPr>
        <w:kinsoku/>
        <w:autoSpaceDE/>
        <w:autoSpaceDN/>
        <w:adjustRightInd/>
        <w:snapToGrid/>
        <w:spacing w:line="400" w:lineRule="exact"/>
        <w:ind w:left="1260" w:leftChars="0" w:firstLine="497"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因超过产品有效期限或保质期而被退回或处理的商品；</w:t>
      </w:r>
    </w:p>
    <w:p w14:paraId="5412ADF3">
      <w:pPr>
        <w:widowControl w:val="0"/>
        <w:numPr>
          <w:ilvl w:val="4"/>
          <w:numId w:val="2"/>
        </w:numPr>
        <w:kinsoku/>
        <w:autoSpaceDE/>
        <w:autoSpaceDN/>
        <w:adjustRightInd/>
        <w:snapToGrid/>
        <w:spacing w:line="400" w:lineRule="exact"/>
        <w:ind w:left="210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高退货率政策处理（High Return Rate Policy）</w:t>
      </w:r>
    </w:p>
    <w:p w14:paraId="4A6095F1">
      <w:pPr>
        <w:widowControl w:val="0"/>
        <w:numPr>
          <w:ilvl w:val="0"/>
          <w:numId w:val="0"/>
        </w:numPr>
        <w:kinsoku/>
        <w:autoSpaceDE/>
        <w:autoSpaceDN/>
        <w:adjustRightInd/>
        <w:snapToGrid/>
        <w:spacing w:line="400" w:lineRule="exact"/>
        <w:ind w:left="1260" w:leftChars="0" w:firstLine="497"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因产品退货率显著高于类目平均水平，被平台认定为高退货率商品并依据平台政策执行退回、下架或处置的情形；</w:t>
      </w:r>
    </w:p>
    <w:p w14:paraId="7D750D5C">
      <w:pPr>
        <w:widowControl w:val="0"/>
        <w:numPr>
          <w:ilvl w:val="4"/>
          <w:numId w:val="2"/>
        </w:numPr>
        <w:kinsoku/>
        <w:autoSpaceDE/>
        <w:autoSpaceDN/>
        <w:adjustRightInd/>
        <w:snapToGrid/>
        <w:spacing w:line="400" w:lineRule="exact"/>
        <w:ind w:left="210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混合损坏（Mixed Damaged）</w:t>
      </w:r>
    </w:p>
    <w:p w14:paraId="063F95BF">
      <w:pPr>
        <w:widowControl w:val="0"/>
        <w:numPr>
          <w:ilvl w:val="0"/>
          <w:numId w:val="0"/>
        </w:numPr>
        <w:kinsoku/>
        <w:autoSpaceDE/>
        <w:autoSpaceDN/>
        <w:adjustRightInd/>
        <w:snapToGrid/>
        <w:spacing w:line="400" w:lineRule="exact"/>
        <w:ind w:left="1260" w:leftChars="0" w:firstLine="497"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同一批次中包含多种类型损坏或不可销售状态的商品；</w:t>
      </w:r>
    </w:p>
    <w:p w14:paraId="7E49C7FD">
      <w:pPr>
        <w:widowControl w:val="0"/>
        <w:numPr>
          <w:ilvl w:val="4"/>
          <w:numId w:val="2"/>
        </w:numPr>
        <w:kinsoku/>
        <w:autoSpaceDE/>
        <w:autoSpaceDN/>
        <w:adjustRightInd/>
        <w:snapToGrid/>
        <w:spacing w:line="400" w:lineRule="exact"/>
        <w:ind w:left="210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仓储环节损坏（Warehouse Damaged）</w:t>
      </w:r>
    </w:p>
    <w:p w14:paraId="3DEE5BAC">
      <w:pPr>
        <w:widowControl w:val="0"/>
        <w:numPr>
          <w:ilvl w:val="0"/>
          <w:numId w:val="0"/>
        </w:numPr>
        <w:kinsoku/>
        <w:autoSpaceDE/>
        <w:autoSpaceDN/>
        <w:adjustRightInd/>
        <w:snapToGrid/>
        <w:spacing w:line="400" w:lineRule="exact"/>
        <w:ind w:left="1260" w:leftChars="0" w:firstLine="497"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产品在平台仓储或履约中心内因搬运、存储或操作造成的损坏；</w:t>
      </w:r>
    </w:p>
    <w:p w14:paraId="5C37DB8D">
      <w:pPr>
        <w:widowControl w:val="0"/>
        <w:numPr>
          <w:ilvl w:val="4"/>
          <w:numId w:val="2"/>
        </w:numPr>
        <w:kinsoku/>
        <w:autoSpaceDE/>
        <w:autoSpaceDN/>
        <w:adjustRightInd/>
        <w:snapToGrid/>
        <w:spacing w:line="400" w:lineRule="exact"/>
        <w:ind w:left="210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供货前损坏（Vendor Damaged）</w:t>
      </w:r>
    </w:p>
    <w:p w14:paraId="599D9C02">
      <w:pPr>
        <w:widowControl w:val="0"/>
        <w:numPr>
          <w:ilvl w:val="0"/>
          <w:numId w:val="0"/>
        </w:numPr>
        <w:kinsoku/>
        <w:autoSpaceDE/>
        <w:autoSpaceDN/>
        <w:adjustRightInd/>
        <w:snapToGrid/>
        <w:spacing w:line="400" w:lineRule="exact"/>
        <w:ind w:left="1260" w:leftChars="0" w:firstLine="497"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产品在交付平台前，由乙方或乙方指定承运方运输、装卸或处理过程中造成的损坏。</w:t>
      </w:r>
    </w:p>
    <w:p w14:paraId="2A2A83AF">
      <w:pPr>
        <w:widowControl w:val="0"/>
        <w:numPr>
          <w:ilvl w:val="0"/>
          <w:numId w:val="0"/>
        </w:numPr>
        <w:kinsoku/>
        <w:autoSpaceDE/>
        <w:autoSpaceDN/>
        <w:adjustRightInd/>
        <w:snapToGrid/>
        <w:spacing w:line="400" w:lineRule="exact"/>
        <w:ind w:left="840"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上述情形所产生的退货、赔付、处理费用或相关损失，甲方有权优先自保证金暂扣款中进行抵扣。</w:t>
      </w:r>
    </w:p>
    <w:p w14:paraId="5CCFA348">
      <w:pPr>
        <w:widowControl w:val="0"/>
        <w:numPr>
          <w:ilvl w:val="2"/>
          <w:numId w:val="2"/>
        </w:numPr>
        <w:kinsoku/>
        <w:autoSpaceDE/>
        <w:autoSpaceDN/>
        <w:adjustRightInd/>
        <w:snapToGrid/>
        <w:spacing w:line="400" w:lineRule="exact"/>
        <w:ind w:left="1260" w:leftChars="0" w:hanging="420" w:firstLineChars="0"/>
        <w:jc w:val="both"/>
        <w:textAlignment w:val="auto"/>
        <w:rPr>
          <w:rFonts w:hint="eastAsia" w:ascii="宋体" w:hAnsi="宋体" w:eastAsia="宋体" w:cs="宋体"/>
          <w:spacing w:val="24"/>
          <w:sz w:val="24"/>
          <w:szCs w:val="24"/>
          <w:highlight w:val="none"/>
          <w:lang w:val="en-US" w:eastAsia="zh-CN"/>
        </w:rPr>
      </w:pPr>
      <w:r>
        <w:rPr>
          <w:rFonts w:hint="eastAsia" w:ascii="宋体" w:hAnsi="宋体" w:eastAsia="宋体" w:cs="宋体"/>
          <w:spacing w:val="24"/>
          <w:sz w:val="24"/>
          <w:szCs w:val="24"/>
          <w:highlight w:val="none"/>
          <w:lang w:eastAsia="zh-CN"/>
        </w:rPr>
        <w:t>适用于前述保证金暂扣机制的高价值产品订单，其</w:t>
      </w:r>
      <w:r>
        <w:rPr>
          <w:rFonts w:hint="eastAsia" w:ascii="宋体" w:hAnsi="宋体" w:eastAsia="宋体" w:cs="宋体"/>
          <w:spacing w:val="24"/>
          <w:sz w:val="24"/>
          <w:szCs w:val="24"/>
          <w:highlight w:val="none"/>
          <w:lang w:val="en-US" w:eastAsia="zh-CN"/>
        </w:rPr>
        <w:t>尾款</w:t>
      </w:r>
      <w:r>
        <w:rPr>
          <w:rFonts w:hint="eastAsia" w:ascii="宋体" w:hAnsi="宋体" w:eastAsia="宋体" w:cs="宋体"/>
          <w:spacing w:val="24"/>
          <w:sz w:val="24"/>
          <w:szCs w:val="24"/>
          <w:highlight w:val="none"/>
          <w:lang w:eastAsia="zh-CN"/>
        </w:rPr>
        <w:t>的结算周期在原结算逻辑基础上调整为T+90，其中：</w:t>
      </w:r>
    </w:p>
    <w:p w14:paraId="1FF64721">
      <w:pPr>
        <w:widowControl w:val="0"/>
        <w:numPr>
          <w:ilvl w:val="3"/>
          <w:numId w:val="2"/>
        </w:numPr>
        <w:kinsoku/>
        <w:autoSpaceDE/>
        <w:autoSpaceDN/>
        <w:adjustRightInd/>
        <w:snapToGrid/>
        <w:spacing w:line="400" w:lineRule="exact"/>
        <w:ind w:left="1680" w:leftChars="0" w:hanging="420" w:firstLineChars="0"/>
        <w:jc w:val="both"/>
        <w:textAlignment w:val="auto"/>
        <w:rPr>
          <w:rFonts w:hint="eastAsia" w:ascii="宋体" w:hAnsi="宋体" w:eastAsia="宋体" w:cs="宋体"/>
          <w:spacing w:val="24"/>
          <w:sz w:val="24"/>
          <w:szCs w:val="24"/>
          <w:highlight w:val="none"/>
          <w:lang w:eastAsia="zh-CN"/>
        </w:rPr>
      </w:pPr>
      <w:r>
        <w:rPr>
          <w:rFonts w:hint="eastAsia" w:ascii="宋体" w:hAnsi="宋体" w:eastAsia="宋体" w:cs="宋体"/>
          <w:spacing w:val="24"/>
          <w:sz w:val="24"/>
          <w:szCs w:val="24"/>
          <w:highlight w:val="none"/>
          <w:lang w:eastAsia="zh-CN"/>
        </w:rPr>
        <w:t>首款部分的结算周期仍按照双方《合作协议</w:t>
      </w:r>
      <w:r>
        <w:rPr>
          <w:rFonts w:hint="eastAsia" w:ascii="宋体" w:hAnsi="宋体" w:eastAsia="宋体" w:cs="宋体"/>
          <w:spacing w:val="24"/>
          <w:sz w:val="24"/>
          <w:szCs w:val="24"/>
          <w:highlight w:val="none"/>
          <w:lang w:val="en-US" w:eastAsia="zh-CN"/>
        </w:rPr>
        <w:t>书</w:t>
      </w:r>
      <w:r>
        <w:rPr>
          <w:rFonts w:hint="eastAsia" w:ascii="宋体" w:hAnsi="宋体" w:eastAsia="宋体" w:cs="宋体"/>
          <w:spacing w:val="24"/>
          <w:sz w:val="24"/>
          <w:szCs w:val="24"/>
          <w:highlight w:val="none"/>
          <w:lang w:eastAsia="zh-CN"/>
        </w:rPr>
        <w:t>》中约定的结算周期执行；</w:t>
      </w:r>
    </w:p>
    <w:p w14:paraId="4170C479">
      <w:pPr>
        <w:widowControl w:val="0"/>
        <w:numPr>
          <w:ilvl w:val="-1"/>
          <w:numId w:val="0"/>
        </w:numPr>
        <w:kinsoku/>
        <w:autoSpaceDE/>
        <w:autoSpaceDN/>
        <w:adjustRightInd/>
        <w:snapToGrid/>
        <w:spacing w:line="400" w:lineRule="exact"/>
        <w:ind w:left="1260" w:leftChars="0" w:firstLine="0" w:firstLineChars="0"/>
        <w:jc w:val="both"/>
        <w:textAlignment w:val="auto"/>
        <w:rPr>
          <w:rFonts w:hint="eastAsia" w:ascii="宋体" w:hAnsi="宋体" w:eastAsia="宋体" w:cs="宋体"/>
          <w:spacing w:val="24"/>
          <w:sz w:val="24"/>
          <w:szCs w:val="24"/>
          <w:highlight w:val="none"/>
          <w:lang w:eastAsia="zh-CN"/>
        </w:rPr>
      </w:pPr>
    </w:p>
    <w:p w14:paraId="4D0BC840">
      <w:pPr>
        <w:widowControl w:val="0"/>
        <w:numPr>
          <w:ilvl w:val="3"/>
          <w:numId w:val="2"/>
        </w:numPr>
        <w:kinsoku/>
        <w:autoSpaceDE/>
        <w:autoSpaceDN/>
        <w:adjustRightInd/>
        <w:snapToGrid/>
        <w:spacing w:line="400" w:lineRule="exact"/>
        <w:ind w:left="1680" w:leftChars="0" w:hanging="420" w:firstLineChars="0"/>
        <w:jc w:val="both"/>
        <w:textAlignment w:val="auto"/>
        <w:rPr>
          <w:rFonts w:hint="eastAsia" w:ascii="宋体" w:hAnsi="宋体" w:eastAsia="宋体" w:cs="宋体"/>
          <w:spacing w:val="24"/>
          <w:sz w:val="24"/>
          <w:szCs w:val="24"/>
          <w:highlight w:val="none"/>
          <w:lang w:val="en-US" w:eastAsia="zh-CN"/>
        </w:rPr>
      </w:pPr>
      <w:r>
        <w:rPr>
          <w:rFonts w:hint="eastAsia" w:ascii="宋体" w:hAnsi="宋体" w:eastAsia="宋体" w:cs="宋体"/>
          <w:spacing w:val="24"/>
          <w:sz w:val="24"/>
          <w:szCs w:val="24"/>
          <w:highlight w:val="none"/>
          <w:lang w:eastAsia="zh-CN"/>
        </w:rPr>
        <w:t>尾款结算周期为T+90。甲方应根据亚马逊VC平台销售报表数据（包括但不限于商品销量、销售额、库存数据等）统计销售情况，并按结算周期内实际完成销售的商品数量（不含退货数量）进行结算。</w:t>
      </w:r>
    </w:p>
    <w:p w14:paraId="3A619562">
      <w:pPr>
        <w:widowControl w:val="0"/>
        <w:numPr>
          <w:ilvl w:val="3"/>
          <w:numId w:val="2"/>
        </w:numPr>
        <w:kinsoku/>
        <w:autoSpaceDE/>
        <w:autoSpaceDN/>
        <w:adjustRightInd/>
        <w:snapToGrid/>
        <w:spacing w:line="400" w:lineRule="exact"/>
        <w:ind w:left="1680" w:leftChars="0" w:hanging="420" w:firstLineChars="0"/>
        <w:jc w:val="both"/>
        <w:textAlignment w:val="auto"/>
        <w:rPr>
          <w:rFonts w:hint="eastAsia" w:ascii="宋体" w:hAnsi="宋体" w:eastAsia="宋体" w:cs="宋体"/>
          <w:spacing w:val="24"/>
          <w:sz w:val="24"/>
          <w:szCs w:val="24"/>
          <w:highlight w:val="none"/>
          <w:lang w:val="en-US" w:eastAsia="zh-CN"/>
        </w:rPr>
      </w:pPr>
      <w:r>
        <w:rPr>
          <w:rFonts w:hint="eastAsia" w:ascii="宋体" w:hAnsi="宋体" w:eastAsia="宋体" w:cs="宋体"/>
          <w:spacing w:val="24"/>
          <w:sz w:val="24"/>
          <w:szCs w:val="24"/>
          <w:highlight w:val="none"/>
          <w:lang w:eastAsia="zh-CN"/>
        </w:rPr>
        <w:t>因</w:t>
      </w:r>
      <w:r>
        <w:rPr>
          <w:rFonts w:hint="eastAsia" w:ascii="宋体" w:hAnsi="宋体" w:eastAsia="宋体" w:cs="宋体"/>
          <w:spacing w:val="24"/>
          <w:sz w:val="24"/>
          <w:szCs w:val="24"/>
          <w:highlight w:val="none"/>
          <w:lang w:val="en-US" w:eastAsia="zh-CN"/>
        </w:rPr>
        <w:t>尾款的结算周期</w:t>
      </w:r>
      <w:r>
        <w:rPr>
          <w:rFonts w:hint="eastAsia" w:ascii="宋体" w:hAnsi="宋体" w:eastAsia="宋体" w:cs="宋体"/>
          <w:spacing w:val="24"/>
          <w:sz w:val="24"/>
          <w:szCs w:val="24"/>
          <w:highlight w:val="none"/>
          <w:lang w:eastAsia="zh-CN"/>
        </w:rPr>
        <w:t>限为T+90，双方确认：针对</w:t>
      </w:r>
      <w:r>
        <w:rPr>
          <w:rFonts w:hint="eastAsia" w:ascii="宋体" w:hAnsi="宋体" w:eastAsia="宋体" w:cs="宋体"/>
          <w:spacing w:val="24"/>
          <w:sz w:val="24"/>
          <w:szCs w:val="24"/>
          <w:highlight w:val="none"/>
          <w:lang w:val="en-US" w:eastAsia="zh-CN"/>
        </w:rPr>
        <w:t>尾款的部分</w:t>
      </w:r>
      <w:r>
        <w:rPr>
          <w:rFonts w:hint="eastAsia" w:ascii="宋体" w:hAnsi="宋体" w:eastAsia="宋体" w:cs="宋体"/>
          <w:spacing w:val="24"/>
          <w:sz w:val="24"/>
          <w:szCs w:val="24"/>
          <w:highlight w:val="none"/>
          <w:lang w:eastAsia="zh-CN"/>
        </w:rPr>
        <w:t>，平台服务费率为0%。</w:t>
      </w:r>
    </w:p>
    <w:p w14:paraId="50C7022B">
      <w:pPr>
        <w:widowControl w:val="0"/>
        <w:numPr>
          <w:ilvl w:val="2"/>
          <w:numId w:val="2"/>
        </w:numPr>
        <w:kinsoku/>
        <w:autoSpaceDE/>
        <w:autoSpaceDN/>
        <w:adjustRightInd/>
        <w:snapToGrid/>
        <w:spacing w:line="400" w:lineRule="exact"/>
        <w:ind w:left="1260" w:leftChars="0" w:hanging="420" w:firstLineChars="0"/>
        <w:jc w:val="both"/>
        <w:textAlignment w:val="auto"/>
        <w:rPr>
          <w:rFonts w:hint="eastAsia" w:ascii="宋体" w:hAnsi="宋体" w:eastAsia="宋体" w:cs="宋体"/>
          <w:spacing w:val="24"/>
          <w:sz w:val="24"/>
          <w:szCs w:val="24"/>
          <w:highlight w:val="none"/>
          <w:lang w:val="en-US" w:eastAsia="zh-CN"/>
        </w:rPr>
      </w:pPr>
      <w:r>
        <w:rPr>
          <w:rFonts w:ascii="宋体" w:hAnsi="宋体" w:eastAsia="宋体" w:cs="宋体"/>
          <w:sz w:val="24"/>
          <w:szCs w:val="24"/>
        </w:rPr>
        <w:t>若乙方对产品进行调价，并经双方确认后，调价后的平台采购价不高于 500 美元（USD 500）的：</w:t>
      </w:r>
    </w:p>
    <w:p w14:paraId="4ACFBE07">
      <w:pPr>
        <w:widowControl w:val="0"/>
        <w:numPr>
          <w:ilvl w:val="3"/>
          <w:numId w:val="2"/>
        </w:numPr>
        <w:kinsoku/>
        <w:autoSpaceDE/>
        <w:autoSpaceDN/>
        <w:adjustRightInd/>
        <w:snapToGrid/>
        <w:spacing w:line="400" w:lineRule="exact"/>
        <w:ind w:left="1680" w:leftChars="0" w:hanging="420" w:firstLineChars="0"/>
        <w:jc w:val="both"/>
        <w:textAlignment w:val="auto"/>
        <w:rPr>
          <w:rFonts w:hint="eastAsia" w:ascii="宋体" w:hAnsi="宋体" w:eastAsia="宋体" w:cs="宋体"/>
          <w:spacing w:val="24"/>
          <w:sz w:val="24"/>
          <w:szCs w:val="24"/>
          <w:highlight w:val="none"/>
          <w:lang w:val="en-US" w:eastAsia="zh-CN"/>
        </w:rPr>
      </w:pPr>
      <w:r>
        <w:rPr>
          <w:rFonts w:hint="eastAsia" w:ascii="宋体" w:hAnsi="宋体" w:eastAsia="宋体" w:cs="宋体"/>
          <w:sz w:val="24"/>
          <w:szCs w:val="24"/>
        </w:rPr>
        <w:t>针对调价后出库的订单，不再适用本条所述高价值产品保证金暂扣机制；</w:t>
      </w:r>
    </w:p>
    <w:p w14:paraId="2331245D">
      <w:pPr>
        <w:widowControl w:val="0"/>
        <w:numPr>
          <w:ilvl w:val="3"/>
          <w:numId w:val="2"/>
        </w:numPr>
        <w:kinsoku/>
        <w:autoSpaceDE/>
        <w:autoSpaceDN/>
        <w:adjustRightInd/>
        <w:snapToGrid/>
        <w:spacing w:line="400" w:lineRule="exact"/>
        <w:ind w:left="1680" w:leftChars="0" w:hanging="420" w:firstLineChars="0"/>
        <w:jc w:val="both"/>
        <w:textAlignment w:val="auto"/>
        <w:rPr>
          <w:rFonts w:hint="eastAsia" w:ascii="宋体" w:hAnsi="宋体" w:eastAsia="宋体" w:cs="宋体"/>
          <w:spacing w:val="24"/>
          <w:sz w:val="24"/>
          <w:szCs w:val="24"/>
          <w:highlight w:val="none"/>
          <w:lang w:val="en-US" w:eastAsia="zh-CN"/>
        </w:rPr>
      </w:pPr>
      <w:r>
        <w:rPr>
          <w:rFonts w:hint="eastAsia" w:ascii="宋体" w:hAnsi="宋体" w:eastAsia="宋体" w:cs="宋体"/>
          <w:sz w:val="24"/>
          <w:szCs w:val="24"/>
        </w:rPr>
        <w:t>该订单的结算方式将自动切换回原合同约定执行；</w:t>
      </w:r>
    </w:p>
    <w:p w14:paraId="010A4853">
      <w:pPr>
        <w:widowControl w:val="0"/>
        <w:numPr>
          <w:ilvl w:val="3"/>
          <w:numId w:val="2"/>
        </w:numPr>
        <w:kinsoku/>
        <w:autoSpaceDE/>
        <w:autoSpaceDN/>
        <w:adjustRightInd/>
        <w:snapToGrid/>
        <w:spacing w:line="400" w:lineRule="exact"/>
        <w:ind w:left="1680" w:leftChars="0" w:hanging="420" w:firstLineChars="0"/>
        <w:jc w:val="both"/>
        <w:textAlignment w:val="auto"/>
        <w:rPr>
          <w:rFonts w:hint="eastAsia" w:ascii="宋体" w:hAnsi="宋体" w:eastAsia="宋体" w:cs="宋体"/>
          <w:spacing w:val="24"/>
          <w:sz w:val="24"/>
          <w:szCs w:val="24"/>
          <w:highlight w:val="none"/>
          <w:lang w:val="en-US" w:eastAsia="zh-CN"/>
        </w:rPr>
      </w:pPr>
      <w:r>
        <w:rPr>
          <w:rFonts w:hint="eastAsia" w:ascii="宋体" w:hAnsi="宋体" w:eastAsia="宋体" w:cs="宋体"/>
          <w:sz w:val="24"/>
          <w:szCs w:val="24"/>
        </w:rPr>
        <w:t>调价前已出库或已确认平台采购价高于 500 美元的订单，仍按本条约定执行，不因后续调价而追溯调整。</w:t>
      </w:r>
    </w:p>
    <w:p w14:paraId="6D01B761">
      <w:pPr>
        <w:pStyle w:val="2"/>
        <w:keepNext w:val="0"/>
        <w:keepLines w:val="0"/>
        <w:pageBreakBefore w:val="0"/>
        <w:widowControl/>
        <w:kinsoku w:val="0"/>
        <w:wordWrap/>
        <w:overflowPunct/>
        <w:topLinePunct w:val="0"/>
        <w:autoSpaceDE w:val="0"/>
        <w:autoSpaceDN w:val="0"/>
        <w:bidi w:val="0"/>
        <w:adjustRightInd w:val="0"/>
        <w:snapToGrid w:val="0"/>
        <w:spacing w:before="295" w:line="360" w:lineRule="auto"/>
        <w:ind w:left="19" w:firstLine="612" w:firstLineChars="200"/>
        <w:jc w:val="both"/>
        <w:textAlignment w:val="baseline"/>
        <w:rPr>
          <w:rFonts w:hint="eastAsia" w:ascii="宋体" w:hAnsi="宋体" w:eastAsia="宋体" w:cs="宋体"/>
          <w:sz w:val="24"/>
          <w:szCs w:val="24"/>
          <w:highlight w:val="none"/>
        </w:rPr>
      </w:pPr>
      <w:bookmarkStart w:id="0" w:name="_GoBack"/>
      <w:bookmarkEnd w:id="0"/>
      <w:r>
        <w:rPr>
          <w:rFonts w:hint="eastAsia" w:ascii="宋体" w:hAnsi="宋体" w:eastAsia="宋体" w:cs="宋体"/>
          <w:spacing w:val="33"/>
          <w:sz w:val="24"/>
          <w:szCs w:val="24"/>
          <w:highlight w:val="none"/>
        </w:rPr>
        <w:t>二</w:t>
      </w:r>
      <w:r>
        <w:rPr>
          <w:rFonts w:hint="eastAsia" w:ascii="宋体" w:hAnsi="宋体" w:eastAsia="宋体" w:cs="宋体"/>
          <w:spacing w:val="-61"/>
          <w:sz w:val="24"/>
          <w:szCs w:val="24"/>
          <w:highlight w:val="none"/>
        </w:rPr>
        <w:t xml:space="preserve"> </w:t>
      </w:r>
      <w:r>
        <w:rPr>
          <w:rFonts w:hint="eastAsia" w:ascii="宋体" w:hAnsi="宋体" w:eastAsia="宋体" w:cs="宋体"/>
          <w:spacing w:val="33"/>
          <w:sz w:val="24"/>
          <w:szCs w:val="24"/>
          <w:highlight w:val="none"/>
        </w:rPr>
        <w:t>、本协议生效后，立即成为原合同不可分割的组成部分，与原合</w:t>
      </w:r>
      <w:r>
        <w:rPr>
          <w:rFonts w:hint="eastAsia" w:ascii="宋体" w:hAnsi="宋体" w:eastAsia="宋体" w:cs="宋体"/>
          <w:spacing w:val="32"/>
          <w:sz w:val="24"/>
          <w:szCs w:val="24"/>
          <w:highlight w:val="none"/>
        </w:rPr>
        <w:t>同具有同等的法律效力。</w:t>
      </w:r>
      <w:r>
        <w:rPr>
          <w:rFonts w:hint="eastAsia" w:ascii="宋体" w:hAnsi="宋体" w:eastAsia="宋体" w:cs="宋体"/>
          <w:spacing w:val="3"/>
          <w:sz w:val="24"/>
          <w:szCs w:val="24"/>
          <w:highlight w:val="none"/>
        </w:rPr>
        <w:t>除本协议中明确所作修改的条款之外，原合同的其余部分完全继续有效。</w:t>
      </w:r>
    </w:p>
    <w:p w14:paraId="3A345B53">
      <w:pPr>
        <w:pStyle w:val="2"/>
        <w:keepNext w:val="0"/>
        <w:keepLines w:val="0"/>
        <w:pageBreakBefore w:val="0"/>
        <w:widowControl/>
        <w:kinsoku w:val="0"/>
        <w:wordWrap/>
        <w:overflowPunct/>
        <w:topLinePunct w:val="0"/>
        <w:autoSpaceDE w:val="0"/>
        <w:autoSpaceDN w:val="0"/>
        <w:bidi w:val="0"/>
        <w:adjustRightInd w:val="0"/>
        <w:snapToGrid w:val="0"/>
        <w:spacing w:before="146" w:line="360" w:lineRule="auto"/>
        <w:ind w:left="134" w:firstLine="480" w:firstLineChars="200"/>
        <w:jc w:val="both"/>
        <w:textAlignment w:val="baseline"/>
        <w:rPr>
          <w:rFonts w:hint="eastAsia" w:ascii="宋体" w:hAnsi="宋体" w:eastAsia="宋体" w:cs="宋体"/>
          <w:spacing w:val="-5"/>
          <w:sz w:val="24"/>
          <w:szCs w:val="24"/>
          <w:highlight w:val="none"/>
        </w:rPr>
      </w:pPr>
      <w:r>
        <w:rPr>
          <w:rFonts w:hint="eastAsia" w:ascii="宋体" w:hAnsi="宋体" w:eastAsia="宋体" w:cs="宋体"/>
          <w:sz w:val="24"/>
          <w:szCs w:val="24"/>
          <w:highlight w:val="none"/>
        </w:rPr>
        <w:t>三</w:t>
      </w:r>
      <w:r>
        <w:rPr>
          <w:rFonts w:hint="eastAsia" w:ascii="宋体" w:hAnsi="宋体" w:eastAsia="宋体" w:cs="宋体"/>
          <w:spacing w:val="-105"/>
          <w:sz w:val="24"/>
          <w:szCs w:val="24"/>
          <w:highlight w:val="none"/>
        </w:rPr>
        <w:t xml:space="preserve"> </w:t>
      </w:r>
      <w:r>
        <w:rPr>
          <w:rFonts w:hint="eastAsia" w:ascii="宋体" w:hAnsi="宋体" w:eastAsia="宋体" w:cs="宋体"/>
          <w:sz w:val="24"/>
          <w:szCs w:val="24"/>
          <w:highlight w:val="none"/>
        </w:rPr>
        <w:t>、本协议一式</w:t>
      </w:r>
      <w:r>
        <w:rPr>
          <w:rFonts w:hint="eastAsia" w:cs="宋体"/>
          <w:sz w:val="24"/>
          <w:szCs w:val="24"/>
          <w:highlight w:val="none"/>
          <w:lang w:val="en-US" w:eastAsia="zh-CN"/>
        </w:rPr>
        <w:t>贰</w:t>
      </w:r>
      <w:r>
        <w:rPr>
          <w:rFonts w:hint="eastAsia" w:ascii="宋体" w:hAnsi="宋体" w:eastAsia="宋体" w:cs="宋体"/>
          <w:sz w:val="24"/>
          <w:szCs w:val="24"/>
          <w:highlight w:val="none"/>
        </w:rPr>
        <w:t>份，甲、乙双方各执</w:t>
      </w:r>
      <w:r>
        <w:rPr>
          <w:rFonts w:hint="eastAsia" w:cs="宋体"/>
          <w:sz w:val="24"/>
          <w:szCs w:val="24"/>
          <w:highlight w:val="none"/>
          <w:lang w:val="en-US" w:eastAsia="zh-CN"/>
        </w:rPr>
        <w:t>壹</w:t>
      </w:r>
      <w:r>
        <w:rPr>
          <w:rFonts w:hint="eastAsia" w:ascii="宋体" w:hAnsi="宋体" w:eastAsia="宋体" w:cs="宋体"/>
          <w:sz w:val="24"/>
          <w:szCs w:val="24"/>
          <w:highlight w:val="none"/>
        </w:rPr>
        <w:t>份，</w:t>
      </w:r>
      <w:r>
        <w:rPr>
          <w:rFonts w:hint="eastAsia" w:cs="宋体"/>
          <w:sz w:val="24"/>
          <w:szCs w:val="24"/>
          <w:highlight w:val="none"/>
          <w:lang w:eastAsia="zh-CN"/>
        </w:rPr>
        <w:t>具有</w:t>
      </w:r>
      <w:r>
        <w:rPr>
          <w:rFonts w:hint="eastAsia" w:ascii="宋体" w:hAnsi="宋体" w:eastAsia="宋体" w:cs="宋体"/>
          <w:sz w:val="24"/>
          <w:szCs w:val="24"/>
          <w:highlight w:val="none"/>
        </w:rPr>
        <w:t>同等法律效力，自双方签字盖章之日起生</w:t>
      </w:r>
      <w:r>
        <w:rPr>
          <w:rFonts w:hint="eastAsia" w:ascii="宋体" w:hAnsi="宋体" w:eastAsia="宋体" w:cs="宋体"/>
          <w:spacing w:val="-5"/>
          <w:sz w:val="24"/>
          <w:szCs w:val="24"/>
          <w:highlight w:val="none"/>
        </w:rPr>
        <w:t>效。</w:t>
      </w:r>
    </w:p>
    <w:p w14:paraId="7F1EB4B6">
      <w:pPr>
        <w:pStyle w:val="2"/>
        <w:keepNext w:val="0"/>
        <w:keepLines w:val="0"/>
        <w:pageBreakBefore w:val="0"/>
        <w:widowControl/>
        <w:kinsoku w:val="0"/>
        <w:wordWrap/>
        <w:overflowPunct/>
        <w:topLinePunct w:val="0"/>
        <w:autoSpaceDE w:val="0"/>
        <w:autoSpaceDN w:val="0"/>
        <w:bidi w:val="0"/>
        <w:adjustRightInd w:val="0"/>
        <w:snapToGrid w:val="0"/>
        <w:spacing w:before="146" w:line="360" w:lineRule="auto"/>
        <w:ind w:left="134" w:firstLine="460" w:firstLineChars="200"/>
        <w:jc w:val="both"/>
        <w:textAlignment w:val="baseline"/>
        <w:rPr>
          <w:rFonts w:hint="eastAsia" w:ascii="宋体" w:hAnsi="宋体" w:eastAsia="宋体" w:cs="宋体"/>
          <w:spacing w:val="-5"/>
          <w:sz w:val="24"/>
          <w:szCs w:val="24"/>
          <w:highlight w:val="none"/>
        </w:rPr>
      </w:pPr>
    </w:p>
    <w:p w14:paraId="04F95FBD">
      <w:pPr>
        <w:pStyle w:val="2"/>
        <w:keepNext w:val="0"/>
        <w:keepLines w:val="0"/>
        <w:pageBreakBefore w:val="0"/>
        <w:widowControl/>
        <w:kinsoku w:val="0"/>
        <w:wordWrap/>
        <w:overflowPunct/>
        <w:topLinePunct w:val="0"/>
        <w:autoSpaceDE w:val="0"/>
        <w:autoSpaceDN w:val="0"/>
        <w:bidi w:val="0"/>
        <w:adjustRightInd w:val="0"/>
        <w:snapToGrid w:val="0"/>
        <w:spacing w:before="146" w:line="360" w:lineRule="auto"/>
        <w:ind w:left="134" w:firstLine="460" w:firstLineChars="200"/>
        <w:jc w:val="both"/>
        <w:textAlignment w:val="baseline"/>
        <w:rPr>
          <w:rFonts w:hint="eastAsia" w:ascii="宋体" w:hAnsi="宋体" w:eastAsia="宋体" w:cs="宋体"/>
          <w:spacing w:val="-5"/>
          <w:sz w:val="24"/>
          <w:szCs w:val="24"/>
          <w:highlight w:val="none"/>
        </w:rPr>
      </w:pPr>
    </w:p>
    <w:p w14:paraId="7B63CABF">
      <w:pPr>
        <w:pStyle w:val="2"/>
        <w:keepNext w:val="0"/>
        <w:keepLines w:val="0"/>
        <w:pageBreakBefore w:val="0"/>
        <w:widowControl/>
        <w:kinsoku w:val="0"/>
        <w:wordWrap/>
        <w:overflowPunct/>
        <w:topLinePunct w:val="0"/>
        <w:autoSpaceDE w:val="0"/>
        <w:autoSpaceDN w:val="0"/>
        <w:bidi w:val="0"/>
        <w:adjustRightInd w:val="0"/>
        <w:snapToGrid w:val="0"/>
        <w:spacing w:before="146" w:line="360" w:lineRule="auto"/>
        <w:ind w:left="134" w:firstLine="460" w:firstLineChars="200"/>
        <w:jc w:val="both"/>
        <w:textAlignment w:val="baseline"/>
        <w:rPr>
          <w:rFonts w:hint="eastAsia" w:ascii="宋体" w:hAnsi="宋体" w:eastAsia="宋体" w:cs="宋体"/>
          <w:spacing w:val="-5"/>
          <w:sz w:val="24"/>
          <w:szCs w:val="24"/>
          <w:highlight w:val="none"/>
        </w:rPr>
      </w:pPr>
    </w:p>
    <w:p w14:paraId="1E44A408">
      <w:pPr>
        <w:pStyle w:val="2"/>
        <w:keepNext w:val="0"/>
        <w:keepLines w:val="0"/>
        <w:pageBreakBefore w:val="0"/>
        <w:widowControl/>
        <w:kinsoku w:val="0"/>
        <w:wordWrap/>
        <w:overflowPunct/>
        <w:topLinePunct w:val="0"/>
        <w:autoSpaceDE w:val="0"/>
        <w:autoSpaceDN w:val="0"/>
        <w:bidi w:val="0"/>
        <w:adjustRightInd w:val="0"/>
        <w:snapToGrid w:val="0"/>
        <w:spacing w:before="146" w:line="360" w:lineRule="auto"/>
        <w:jc w:val="both"/>
        <w:textAlignment w:val="baseline"/>
        <w:rPr>
          <w:rFonts w:hint="eastAsia" w:ascii="宋体" w:hAnsi="宋体" w:eastAsia="宋体" w:cs="宋体"/>
          <w:spacing w:val="64"/>
          <w:sz w:val="24"/>
          <w:szCs w:val="24"/>
          <w:highlight w:val="none"/>
        </w:rPr>
      </w:pPr>
      <w:r>
        <w:rPr>
          <w:rFonts w:hint="eastAsia" w:ascii="宋体" w:hAnsi="宋体" w:eastAsia="宋体" w:cs="宋体"/>
          <w:spacing w:val="64"/>
          <w:sz w:val="24"/>
          <w:szCs w:val="24"/>
          <w:highlight w:val="none"/>
        </w:rPr>
        <w:t>甲方（盖章）：            乙方（盖章）：</w:t>
      </w:r>
    </w:p>
    <w:p w14:paraId="549D7C81">
      <w:pPr>
        <w:pStyle w:val="2"/>
        <w:keepNext w:val="0"/>
        <w:keepLines w:val="0"/>
        <w:pageBreakBefore w:val="0"/>
        <w:widowControl/>
        <w:tabs>
          <w:tab w:val="left" w:pos="3090"/>
        </w:tabs>
        <w:kinsoku w:val="0"/>
        <w:wordWrap/>
        <w:overflowPunct/>
        <w:topLinePunct w:val="0"/>
        <w:autoSpaceDE w:val="0"/>
        <w:autoSpaceDN w:val="0"/>
        <w:bidi w:val="0"/>
        <w:adjustRightInd w:val="0"/>
        <w:snapToGrid w:val="0"/>
        <w:spacing w:before="146" w:line="360" w:lineRule="auto"/>
        <w:ind w:left="134" w:firstLine="736" w:firstLineChars="200"/>
        <w:jc w:val="both"/>
        <w:textAlignment w:val="baseline"/>
        <w:rPr>
          <w:rFonts w:hint="eastAsia" w:ascii="宋体" w:hAnsi="宋体" w:eastAsia="宋体" w:cs="宋体"/>
          <w:spacing w:val="64"/>
          <w:sz w:val="24"/>
          <w:szCs w:val="24"/>
          <w:highlight w:val="none"/>
          <w:lang w:eastAsia="zh-CN"/>
        </w:rPr>
      </w:pPr>
      <w:r>
        <w:rPr>
          <w:rFonts w:hint="eastAsia" w:cs="宋体"/>
          <w:spacing w:val="64"/>
          <w:sz w:val="24"/>
          <w:szCs w:val="24"/>
          <w:highlight w:val="none"/>
          <w:lang w:eastAsia="zh-CN"/>
        </w:rPr>
        <w:tab/>
      </w:r>
    </w:p>
    <w:p w14:paraId="2DFA82D3">
      <w:pPr>
        <w:pStyle w:val="2"/>
        <w:keepNext w:val="0"/>
        <w:keepLines w:val="0"/>
        <w:pageBreakBefore w:val="0"/>
        <w:widowControl/>
        <w:kinsoku w:val="0"/>
        <w:wordWrap/>
        <w:overflowPunct/>
        <w:topLinePunct w:val="0"/>
        <w:autoSpaceDE w:val="0"/>
        <w:autoSpaceDN w:val="0"/>
        <w:bidi w:val="0"/>
        <w:adjustRightInd w:val="0"/>
        <w:snapToGrid w:val="0"/>
        <w:spacing w:before="146" w:line="360" w:lineRule="auto"/>
        <w:ind w:left="134" w:firstLine="736" w:firstLineChars="200"/>
        <w:jc w:val="both"/>
        <w:textAlignment w:val="baseline"/>
        <w:rPr>
          <w:rFonts w:hint="eastAsia" w:ascii="宋体" w:hAnsi="宋体" w:eastAsia="宋体" w:cs="宋体"/>
          <w:spacing w:val="64"/>
          <w:sz w:val="24"/>
          <w:szCs w:val="24"/>
          <w:highlight w:val="none"/>
        </w:rPr>
      </w:pPr>
    </w:p>
    <w:p w14:paraId="70155C72">
      <w:pPr>
        <w:pStyle w:val="2"/>
        <w:keepNext w:val="0"/>
        <w:keepLines w:val="0"/>
        <w:pageBreakBefore w:val="0"/>
        <w:widowControl/>
        <w:kinsoku w:val="0"/>
        <w:wordWrap/>
        <w:overflowPunct/>
        <w:topLinePunct w:val="0"/>
        <w:autoSpaceDE w:val="0"/>
        <w:autoSpaceDN w:val="0"/>
        <w:bidi w:val="0"/>
        <w:adjustRightInd w:val="0"/>
        <w:snapToGrid w:val="0"/>
        <w:spacing w:before="146" w:line="360" w:lineRule="auto"/>
        <w:ind w:left="134" w:firstLine="736" w:firstLineChars="200"/>
        <w:jc w:val="both"/>
        <w:textAlignment w:val="baseline"/>
        <w:rPr>
          <w:rFonts w:hint="eastAsia" w:ascii="宋体" w:hAnsi="宋体" w:eastAsia="宋体" w:cs="宋体"/>
          <w:spacing w:val="64"/>
          <w:sz w:val="24"/>
          <w:szCs w:val="24"/>
          <w:highlight w:val="none"/>
        </w:rPr>
      </w:pPr>
    </w:p>
    <w:p w14:paraId="4813A33B">
      <w:pPr>
        <w:pStyle w:val="2"/>
        <w:keepNext w:val="0"/>
        <w:keepLines w:val="0"/>
        <w:pageBreakBefore w:val="0"/>
        <w:widowControl/>
        <w:kinsoku w:val="0"/>
        <w:wordWrap/>
        <w:overflowPunct/>
        <w:topLinePunct w:val="0"/>
        <w:autoSpaceDE w:val="0"/>
        <w:autoSpaceDN w:val="0"/>
        <w:bidi w:val="0"/>
        <w:adjustRightInd w:val="0"/>
        <w:snapToGrid w:val="0"/>
        <w:spacing w:before="146" w:line="360" w:lineRule="auto"/>
        <w:jc w:val="both"/>
        <w:textAlignment w:val="baseline"/>
        <w:rPr>
          <w:rFonts w:hint="eastAsia" w:ascii="宋体" w:hAnsi="宋体" w:eastAsia="宋体" w:cs="宋体"/>
          <w:sz w:val="24"/>
          <w:szCs w:val="24"/>
          <w:highlight w:val="none"/>
        </w:rPr>
      </w:pPr>
      <w:r>
        <w:rPr>
          <w:rFonts w:hint="eastAsia" w:ascii="宋体" w:hAnsi="宋体" w:eastAsia="宋体" w:cs="宋体"/>
          <w:spacing w:val="64"/>
          <w:sz w:val="24"/>
          <w:szCs w:val="24"/>
          <w:highlight w:val="none"/>
        </w:rPr>
        <w:t>签订时间：     年   月   日</w:t>
      </w:r>
    </w:p>
    <w:sectPr>
      <w:footerReference r:id="rId5" w:type="default"/>
      <w:pgSz w:w="11906" w:h="16838"/>
      <w:pgMar w:top="1440" w:right="1800" w:bottom="1440" w:left="1800" w:header="0"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A76FB">
    <w:pPr>
      <w:pStyle w:val="3"/>
      <w:tabs>
        <w:tab w:val="left" w:pos="4781"/>
        <w:tab w:val="clear" w:pos="4153"/>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D9E37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ED9E37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r>
      <w:rPr>
        <w:rFonts w:hint="eastAsia" w:eastAsia="宋体"/>
        <w:lang w:eastAsia="zh-CN"/>
      </w:rPr>
      <w:tab/>
    </w:r>
    <w:r>
      <w:ptab w:relativeTo="margin" w:alignment="center"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CBA182"/>
    <w:multiLevelType w:val="multilevel"/>
    <w:tmpl w:val="A0CBA182"/>
    <w:lvl w:ilvl="0" w:tentative="0">
      <w:start w:val="1"/>
      <w:numFmt w:val="decimal"/>
      <w:suff w:val="space"/>
      <w:lvlText w:val="%1."/>
      <w:lvlJc w:val="left"/>
      <w:rPr>
        <w:rFonts w:hint="default"/>
        <w:b/>
        <w:bCs/>
      </w:rPr>
    </w:lvl>
    <w:lvl w:ilvl="1" w:tentative="0">
      <w:start w:val="1"/>
      <w:numFmt w:val="decimal"/>
      <w:lvlText w:val="(%2)"/>
      <w:lvlJc w:val="left"/>
      <w:pPr>
        <w:tabs>
          <w:tab w:val="left" w:pos="420"/>
        </w:tabs>
        <w:ind w:left="840" w:leftChars="0" w:hanging="420" w:firstLineChars="0"/>
      </w:pPr>
      <w:rPr>
        <w:rFonts w:hint="default"/>
        <w:b/>
        <w:bCs/>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36BC561A"/>
    <w:multiLevelType w:val="singleLevel"/>
    <w:tmpl w:val="36BC561A"/>
    <w:lvl w:ilvl="0" w:tentative="0">
      <w:start w:val="3"/>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534626"/>
    <w:rsid w:val="164B79D5"/>
    <w:rsid w:val="1F242C08"/>
    <w:rsid w:val="224B1F27"/>
    <w:rsid w:val="61883090"/>
    <w:rsid w:val="62B56CEF"/>
    <w:rsid w:val="716A082B"/>
    <w:rsid w:val="75751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43"/>
      <w:szCs w:val="43"/>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1411</Words>
  <Characters>1582</Characters>
  <Lines>0</Lines>
  <Paragraphs>0</Paragraphs>
  <TotalTime>1145</TotalTime>
  <ScaleCrop>false</ScaleCrop>
  <LinksUpToDate>false</LinksUpToDate>
  <CharactersWithSpaces>1645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2026-03-11T09:08:00Z</dcterms:created>
  <dc:creator>Administrator</dc:creator>
  <cp:lastModifiedBy>YuSheng</cp:lastModifiedBy>
  <dcterms:modified xsi:type="dcterms:W3CDTF">2026-03-27T05:45:11Z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eyJoZGlkIjoiZDM5YjcyYTVlMjBmNTZmZTVkN2I1Mzc0MzE1MzE4ZWMiLCJ1c2VySWQiOiI0NTE0MTY4NDAifQ==</vt:lpwstr>
  </property>
  <property fmtid="{D5CDD505-2E9C-101B-9397-08002B2CF9AE}" pid="4" name="ICV">
    <vt:lpwstr>9C01C65F0E574398BD0E8C26D75F7722_13</vt:lpwstr>
  </property>
</Properties>
</file>