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67E67">
      <w:pPr>
        <w:pStyle w:val="2"/>
        <w:keepNext w:val="0"/>
        <w:keepLines w:val="0"/>
        <w:widowControl/>
        <w:suppressLineNumbers w:val="0"/>
        <w:jc w:val="center"/>
        <w:rPr>
          <w:rFonts w:hint="eastAsia" w:ascii="仿宋" w:hAnsi="仿宋" w:eastAsia="仿宋" w:cs="仿宋"/>
          <w:b/>
          <w:bCs w:val="0"/>
          <w:color w:val="auto"/>
          <w:kern w:val="2"/>
          <w:sz w:val="30"/>
          <w:szCs w:val="30"/>
          <w:highlight w:val="none"/>
          <w:lang w:val="en-US" w:eastAsia="zh-CN" w:bidi="ar-SA"/>
        </w:rPr>
      </w:pPr>
      <w:r>
        <w:rPr>
          <w:rFonts w:hint="eastAsia" w:ascii="仿宋" w:hAnsi="仿宋" w:eastAsia="仿宋" w:cs="仿宋"/>
          <w:b/>
          <w:bCs w:val="0"/>
          <w:color w:val="auto"/>
          <w:kern w:val="2"/>
          <w:sz w:val="30"/>
          <w:szCs w:val="30"/>
          <w:highlight w:val="none"/>
          <w:lang w:val="en-US" w:eastAsia="zh-CN" w:bidi="ar-SA"/>
        </w:rPr>
        <w:t>云舟平台仓终止使用协议</w:t>
      </w:r>
    </w:p>
    <w:p w14:paraId="55C2B95D"/>
    <w:p w14:paraId="2AD9F055"/>
    <w:p w14:paraId="62275E3B">
      <w:pPr>
        <w:rPr>
          <w:sz w:val="15"/>
          <w:szCs w:val="18"/>
        </w:rPr>
      </w:pPr>
    </w:p>
    <w:p w14:paraId="22A85981">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仿宋" w:hAnsi="仿宋" w:eastAsia="仿宋" w:cs="仿宋"/>
          <w:b/>
          <w:color w:val="auto"/>
          <w:sz w:val="24"/>
          <w:szCs w:val="24"/>
          <w:highlight w:val="none"/>
        </w:rPr>
      </w:pPr>
      <w:r>
        <w:rPr>
          <w:rFonts w:hint="eastAsia" w:ascii="仿宋" w:hAnsi="仿宋" w:eastAsia="仿宋" w:cs="仿宋"/>
          <w:b/>
          <w:color w:val="auto"/>
          <w:sz w:val="24"/>
          <w:szCs w:val="24"/>
          <w:highlight w:val="none"/>
          <w:lang w:val="en-US" w:eastAsia="zh-CN"/>
        </w:rPr>
        <w:t>甲方</w:t>
      </w:r>
      <w:r>
        <w:rPr>
          <w:rFonts w:hint="eastAsia" w:ascii="仿宋" w:hAnsi="仿宋" w:eastAsia="仿宋" w:cs="仿宋"/>
          <w:b/>
          <w:color w:val="auto"/>
          <w:sz w:val="24"/>
          <w:szCs w:val="24"/>
          <w:highlight w:val="none"/>
        </w:rPr>
        <w:t>：</w:t>
      </w:r>
      <w:r>
        <w:rPr>
          <w:rFonts w:hint="eastAsia" w:ascii="仿宋" w:hAnsi="仿宋" w:eastAsia="仿宋" w:cs="仿宋"/>
          <w:b/>
          <w:color w:val="auto"/>
          <w:sz w:val="24"/>
          <w:szCs w:val="24"/>
          <w:highlight w:val="none"/>
          <w:lang w:eastAsia="zh-CN"/>
        </w:rPr>
        <w:t>C</w:t>
      </w:r>
      <w:r>
        <w:rPr>
          <w:rFonts w:hint="eastAsia" w:ascii="仿宋" w:hAnsi="仿宋" w:eastAsia="仿宋" w:cs="仿宋"/>
          <w:b/>
          <w:color w:val="auto"/>
          <w:sz w:val="24"/>
          <w:szCs w:val="24"/>
          <w:highlight w:val="none"/>
          <w:lang w:val="en-US" w:eastAsia="zh-CN"/>
        </w:rPr>
        <w:t xml:space="preserve">loud </w:t>
      </w:r>
      <w:r>
        <w:rPr>
          <w:rFonts w:hint="eastAsia" w:ascii="仿宋" w:hAnsi="仿宋" w:eastAsia="仿宋" w:cs="仿宋"/>
          <w:b/>
          <w:color w:val="auto"/>
          <w:sz w:val="24"/>
          <w:szCs w:val="24"/>
          <w:highlight w:val="none"/>
          <w:lang w:eastAsia="zh-CN"/>
        </w:rPr>
        <w:t>B</w:t>
      </w:r>
      <w:r>
        <w:rPr>
          <w:rFonts w:hint="eastAsia" w:ascii="仿宋" w:hAnsi="仿宋" w:eastAsia="仿宋" w:cs="仿宋"/>
          <w:b/>
          <w:color w:val="auto"/>
          <w:sz w:val="24"/>
          <w:szCs w:val="24"/>
          <w:highlight w:val="none"/>
          <w:lang w:val="en-US" w:eastAsia="zh-CN"/>
        </w:rPr>
        <w:t>oat</w:t>
      </w:r>
      <w:r>
        <w:rPr>
          <w:rFonts w:hint="eastAsia" w:ascii="仿宋" w:hAnsi="仿宋" w:eastAsia="仿宋" w:cs="仿宋"/>
          <w:b/>
          <w:color w:val="auto"/>
          <w:sz w:val="24"/>
          <w:szCs w:val="24"/>
          <w:highlight w:val="none"/>
        </w:rPr>
        <w:t xml:space="preserve"> INC</w:t>
      </w:r>
    </w:p>
    <w:p w14:paraId="29245D29">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地址</w:t>
      </w:r>
      <w:r>
        <w:rPr>
          <w:rFonts w:hint="eastAsia" w:ascii="仿宋" w:hAnsi="仿宋" w:eastAsia="仿宋" w:cs="仿宋"/>
          <w:color w:val="auto"/>
          <w:sz w:val="24"/>
          <w:szCs w:val="24"/>
          <w:highlight w:val="none"/>
        </w:rPr>
        <w:t>：深圳市龙岗区坂田街道南坑社区雅宝路1号星河WORLD F栋大厦2506B</w:t>
      </w:r>
    </w:p>
    <w:p w14:paraId="58CD8AF5">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联系</w:t>
      </w:r>
      <w:r>
        <w:rPr>
          <w:rFonts w:hint="eastAsia" w:ascii="仿宋" w:hAnsi="仿宋" w:eastAsia="仿宋" w:cs="仿宋"/>
          <w:color w:val="auto"/>
          <w:sz w:val="24"/>
          <w:szCs w:val="24"/>
          <w:highlight w:val="none"/>
        </w:rPr>
        <w:t>人：刘文平</w:t>
      </w:r>
    </w:p>
    <w:p w14:paraId="48A45644">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rPr>
        <w:t>联系电话：</w:t>
      </w:r>
    </w:p>
    <w:p w14:paraId="39B8F8E1">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电子邮箱：</w:t>
      </w:r>
    </w:p>
    <w:p w14:paraId="3A84A966">
      <w:pPr>
        <w:keepNext w:val="0"/>
        <w:keepLines w:val="0"/>
        <w:widowControl/>
        <w:suppressLineNumbers w:val="0"/>
        <w:jc w:val="left"/>
        <w:rPr>
          <w:rFonts w:ascii="宋体" w:hAnsi="宋体" w:eastAsia="宋体" w:cs="宋体"/>
          <w:kern w:val="0"/>
          <w:sz w:val="18"/>
          <w:szCs w:val="18"/>
          <w:lang w:val="en-US" w:eastAsia="zh-CN" w:bidi="ar"/>
        </w:rPr>
      </w:pPr>
    </w:p>
    <w:p w14:paraId="2AB273F6">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仿宋" w:hAnsi="仿宋" w:eastAsia="仿宋" w:cs="仿宋"/>
          <w:b/>
          <w:color w:val="auto"/>
          <w:sz w:val="24"/>
          <w:szCs w:val="24"/>
          <w:highlight w:val="none"/>
        </w:rPr>
      </w:pPr>
      <w:r>
        <w:rPr>
          <w:rFonts w:hint="eastAsia" w:ascii="仿宋" w:hAnsi="仿宋" w:eastAsia="仿宋" w:cs="仿宋"/>
          <w:b/>
          <w:color w:val="auto"/>
          <w:sz w:val="24"/>
          <w:szCs w:val="24"/>
          <w:highlight w:val="none"/>
        </w:rPr>
        <w:t>乙方：</w:t>
      </w:r>
    </w:p>
    <w:p w14:paraId="6125B5C9">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地址</w:t>
      </w:r>
      <w:r>
        <w:rPr>
          <w:rFonts w:hint="eastAsia" w:ascii="仿宋" w:hAnsi="仿宋" w:eastAsia="仿宋" w:cs="仿宋"/>
          <w:color w:val="auto"/>
          <w:sz w:val="24"/>
          <w:szCs w:val="24"/>
          <w:highlight w:val="none"/>
        </w:rPr>
        <w:t>：</w:t>
      </w:r>
      <w:bookmarkStart w:id="0" w:name="_GoBack"/>
      <w:bookmarkEnd w:id="0"/>
    </w:p>
    <w:p w14:paraId="3F3D0A80">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联系</w:t>
      </w:r>
      <w:r>
        <w:rPr>
          <w:rFonts w:hint="eastAsia" w:ascii="仿宋" w:hAnsi="仿宋" w:eastAsia="仿宋" w:cs="仿宋"/>
          <w:color w:val="auto"/>
          <w:sz w:val="24"/>
          <w:szCs w:val="24"/>
          <w:highlight w:val="none"/>
        </w:rPr>
        <w:t>人：</w:t>
      </w:r>
    </w:p>
    <w:p w14:paraId="7AFC499B">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rPr>
        <w:t>联系电话：</w:t>
      </w:r>
    </w:p>
    <w:p w14:paraId="28E188CD">
      <w:pPr>
        <w:pStyle w:val="6"/>
        <w:keepNext w:val="0"/>
        <w:keepLines w:val="0"/>
        <w:pageBreakBefore w:val="0"/>
        <w:kinsoku/>
        <w:wordWrap/>
        <w:overflowPunct/>
        <w:topLinePunct w:val="0"/>
        <w:autoSpaceDE/>
        <w:autoSpaceDN/>
        <w:bidi w:val="0"/>
        <w:adjustRightInd/>
        <w:snapToGrid/>
        <w:spacing w:before="156" w:beforeLines="50" w:beforeAutospacing="0" w:after="156" w:afterLines="50" w:afterAutospacing="0" w:line="360" w:lineRule="auto"/>
        <w:ind w:firstLine="0" w:firstLineChars="0"/>
        <w:jc w:val="left"/>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电子邮箱：</w:t>
      </w:r>
    </w:p>
    <w:p w14:paraId="03FFC359">
      <w:pPr>
        <w:keepNext w:val="0"/>
        <w:keepLines w:val="0"/>
        <w:widowControl/>
        <w:suppressLineNumbers w:val="0"/>
        <w:jc w:val="left"/>
        <w:rPr>
          <w:rFonts w:ascii="宋体" w:hAnsi="宋体" w:eastAsia="宋体" w:cs="宋体"/>
          <w:kern w:val="0"/>
          <w:sz w:val="24"/>
          <w:szCs w:val="24"/>
          <w:lang w:val="en-US" w:eastAsia="zh-CN" w:bidi="ar"/>
        </w:rPr>
      </w:pPr>
    </w:p>
    <w:p w14:paraId="51F2A86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lang w:val="en-US" w:eastAsia="zh-CN"/>
        </w:rPr>
        <w:t>鉴于甲乙双方就甲方为乙方提供海外仓仓储、管理等相关服务，签订了《云舟平台仓服务协议》（以下简称“原协议”），现因________________________，经双方协商一致，就终止原协议、解除乙方对甲方海外仓的使用权限及相关后续事宜，订立本协议，以资共同遵守。</w:t>
      </w:r>
    </w:p>
    <w:p w14:paraId="75B7F6A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本协议生效且履行完毕后，原协议项下甲乙双方原协议的权利义务均告终止，双方不再享有原协议约定的权利，亦不再承担原协议约定的义务（本协议另有约定的除外）。</w:t>
      </w:r>
    </w:p>
    <w:p w14:paraId="6141A111">
      <w:pPr>
        <w:keepNext w:val="0"/>
        <w:keepLines w:val="0"/>
        <w:widowControl/>
        <w:suppressLineNumbers w:val="0"/>
        <w:jc w:val="left"/>
        <w:rPr>
          <w:rFonts w:ascii="宋体" w:hAnsi="宋体" w:eastAsia="宋体" w:cs="宋体"/>
          <w:kern w:val="0"/>
          <w:sz w:val="21"/>
          <w:szCs w:val="21"/>
          <w:lang w:val="en-US" w:eastAsia="zh-CN" w:bidi="ar"/>
        </w:rPr>
      </w:pPr>
    </w:p>
    <w:p w14:paraId="1B24F461">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协议终止日期</w:t>
      </w:r>
    </w:p>
    <w:p w14:paraId="676537D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双方确认，本协议自______年______月______日起正式生效，原协议自本协议生效且履行完毕之日起终止，乙方自本协议生效之日起，不得再使用甲方海外仓的任何服务（包括但不限于货物入库、出库、仓储、分拣等），甲方有权关闭乙方的海外仓操作权限。</w:t>
      </w:r>
    </w:p>
    <w:p w14:paraId="7DF99D8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若乙方在本协议生效后，仍擅自使用甲方海外仓服务，产生的一切费用由乙方承担，若造成甲方损失的，乙方应全额赔偿。</w:t>
      </w:r>
    </w:p>
    <w:p w14:paraId="2AC8BCC8">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atLeast"/>
        <w:ind w:leftChars="0"/>
        <w:jc w:val="left"/>
        <w:textAlignment w:val="auto"/>
        <w:outlineLvl w:val="1"/>
      </w:pPr>
    </w:p>
    <w:p w14:paraId="44D39DFF">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货物处理及相关费用承担</w:t>
      </w:r>
    </w:p>
    <w:p w14:paraId="1F0A356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乙方确认，截至本协议生效之日，其存储在甲方海外仓的全部货物（具体货物明细、数量、规格等，以客户端系统实时在库库存为准），经由乙双方友好协商，甲方协助乙方进行处理，处理方式包括但不限于自行提货、委托甲方代为转运等。</w:t>
      </w:r>
    </w:p>
    <w:p w14:paraId="5EABC6D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乙方应在本协议生效之日起30日内（以下简称“货物处理期限”），完成全部货物的离仓事宜，确保甲方海外仓内无乙方任何货物。若乙方逾期未完成货物离仓，仍需承担该期间产生的全部仓储费、管理费等相关费用。</w:t>
      </w:r>
    </w:p>
    <w:p w14:paraId="186CF27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货物处理过程中产生的一切费用，均由乙方全额承担，包括但不限于仓储费、分拣费、包装费、出库费、转运费、运输费等，乙方须在货物离仓前结清所有上述费用，费用首先在VC订单货款中抵扣，如果货款不足以完全抵扣，乙方需通过预充值、汇款等方式补齐不足抵扣的出库转运费用，费用补齐后，仓库予以放行货物。若乙方未按时结清，甲方有权拒绝放行货物，由此产生的一切损失（包括但不限于货物滞留产生的额外仓储费等）由乙方承担。</w:t>
      </w:r>
    </w:p>
    <w:p w14:paraId="76E50B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leftChars="0"/>
        <w:jc w:val="left"/>
        <w:textAlignment w:val="auto"/>
        <w:rPr>
          <w:sz w:val="16"/>
          <w:szCs w:val="20"/>
        </w:rPr>
      </w:pPr>
    </w:p>
    <w:p w14:paraId="2C131B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leftChars="0"/>
        <w:jc w:val="left"/>
        <w:textAlignment w:val="auto"/>
        <w:rPr>
          <w:sz w:val="16"/>
          <w:szCs w:val="20"/>
        </w:rPr>
      </w:pPr>
    </w:p>
    <w:p w14:paraId="2315F2EC">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逾期未处理货物的处置</w:t>
      </w:r>
    </w:p>
    <w:p w14:paraId="5360124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若乙方在本协议约定的货物处理期限届满后，仍未对其存储在甲方海外仓的货物进行任何处理，也未向甲方提出书面延期处理申请并获得甲方书面同意的，视为乙方自愿放弃该等货物的所有权及一切相关权利，甲方有权对该等货物进行任意处置，处置方式由甲方自行决定，无需另行通知乙方。</w:t>
      </w:r>
    </w:p>
    <w:p w14:paraId="18B9FD3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甲方对上述货物进行处置时，无需承担任何责任（包括但不限于货物损坏、丢失、贬值等相关责任），乙方不得就该等货物的处置向甲方提出任何异议、索赔或其他主张。</w:t>
      </w:r>
    </w:p>
    <w:p w14:paraId="7CBAC1A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货物处置过程中产生的一切处置费用（包括但不限于仓储费、出库费、销毁费等），均由乙方承担，甲方有权向乙方追偿，乙方应在甲方发出追偿通知之日起7日内足额支付，逾期未支付的，每逾期一日，应按未支付金额的0.03%向甲方支付违约金。</w:t>
      </w:r>
    </w:p>
    <w:p w14:paraId="6EB9B56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ascii="宋体" w:hAnsi="宋体" w:eastAsia="宋体" w:cs="宋体"/>
          <w:kern w:val="0"/>
          <w:sz w:val="20"/>
          <w:szCs w:val="20"/>
          <w:lang w:val="en-US" w:eastAsia="zh-CN" w:bidi="ar"/>
        </w:rPr>
      </w:pPr>
    </w:p>
    <w:p w14:paraId="0052499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ascii="宋体" w:hAnsi="宋体" w:eastAsia="宋体" w:cs="宋体"/>
          <w:kern w:val="0"/>
          <w:sz w:val="20"/>
          <w:szCs w:val="20"/>
          <w:lang w:val="en-US" w:eastAsia="zh-CN" w:bidi="ar"/>
        </w:rPr>
      </w:pPr>
    </w:p>
    <w:p w14:paraId="665E49D0">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费用结算</w:t>
      </w:r>
    </w:p>
    <w:p w14:paraId="6C53B85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双方确认，截至货物处理期限，乙方应向甲方支付的所有货物移仓所需费用。</w:t>
      </w:r>
    </w:p>
    <w:p w14:paraId="5B7A32D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若乙方未按本条款约定结清全部费用，甲方有权采取以下措施，且不承担任何违约责任：</w:t>
      </w:r>
    </w:p>
    <w:p w14:paraId="3C39565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（1）暂停为乙方办理任何货物处理相关事宜；</w:t>
      </w:r>
    </w:p>
    <w:p w14:paraId="751E135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（2）要求乙方支付逾期付款违约金（每逾期一日，按未支付金额的0.03%计算）；</w:t>
      </w:r>
    </w:p>
    <w:p w14:paraId="50B24F2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（3）向乙方追偿因此产生的一切损失（包括但不限于律师费、诉讼费、保全费、差旅费等）。</w:t>
      </w:r>
    </w:p>
    <w:p w14:paraId="44AC094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若乙方已支付的预付款、押金等款项，在抵扣乙方应支付的全部费用后仍有剩余的，甲方将在乙方结清全部费用且完成货物离仓后将剩余款项无息退还乙方；若预付款、押金不足以抵扣乙方应支付的费用，乙方应在甲方通知之日起7日内补足差额。</w:t>
      </w:r>
    </w:p>
    <w:p w14:paraId="3A3FF7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tLeast"/>
        <w:ind w:leftChars="0"/>
        <w:jc w:val="left"/>
        <w:textAlignment w:val="auto"/>
        <w:rPr>
          <w:sz w:val="20"/>
          <w:szCs w:val="20"/>
        </w:rPr>
      </w:pPr>
    </w:p>
    <w:p w14:paraId="2C44BC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tLeast"/>
        <w:ind w:leftChars="0"/>
        <w:jc w:val="left"/>
        <w:textAlignment w:val="auto"/>
        <w:rPr>
          <w:sz w:val="20"/>
          <w:szCs w:val="20"/>
        </w:rPr>
      </w:pPr>
    </w:p>
    <w:p w14:paraId="49484ECB">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双方权利与义务</w:t>
      </w:r>
    </w:p>
    <w:p w14:paraId="7EC320C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5.1 甲方权利义务：</w:t>
      </w:r>
    </w:p>
    <w:p w14:paraId="27DC8E9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（1）有权按照本协议约定，要求乙方及时处理货物、结清相关费用；</w:t>
      </w:r>
    </w:p>
    <w:p w14:paraId="048652A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（2）有权在乙方逾期未处理货物时，自行处置货物并向乙方追偿处置费用；</w:t>
      </w:r>
    </w:p>
    <w:p w14:paraId="41D52F8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（3）应配合乙方办理货物离仓相关事宜，提供必要的协助（协助产生的费用由乙方承担）；</w:t>
      </w:r>
    </w:p>
    <w:p w14:paraId="1645042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（4）应妥善保管乙方货物至本协议约定的货物处理期限届满，若因甲方故意或重大过失导致货物损坏、丢失的，应承担相应赔偿责任（因乙方逾期未处理货物导致的损坏、丢失除外）；</w:t>
      </w:r>
    </w:p>
    <w:p w14:paraId="6F02A94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（5）应遵守海外仓所在国的法律法规及行业规范，确保仓储设施符合当地安全标准，取得相关运营资质。</w:t>
      </w:r>
    </w:p>
    <w:p w14:paraId="5DC4219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5.2 乙方权利义务：</w:t>
      </w:r>
    </w:p>
    <w:p w14:paraId="7E8EBCA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（1）有权要求甲方配合办理货物离仓相关事宜；</w:t>
      </w:r>
    </w:p>
    <w:p w14:paraId="01FB111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（2）应按本协议约定，及时处理货物、结清所有相关费用；</w:t>
      </w:r>
    </w:p>
    <w:p w14:paraId="7C260FD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（3）应自行承担货物处理过程中的一切风险（包括但不限于货物运输风险、损坏风险、丢失风险等）；</w:t>
      </w:r>
    </w:p>
    <w:p w14:paraId="713571D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（4）应向甲方提供真实、准确的货物信息及相关资料，确保货物符合仓储要求；</w:t>
      </w:r>
    </w:p>
    <w:p w14:paraId="13301B0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（5）不得将甲方海外仓用于非法用途，不得存储违禁品、危险品等不符合规定的货物。</w:t>
      </w:r>
    </w:p>
    <w:p w14:paraId="770B35F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ascii="宋体" w:hAnsi="宋体" w:eastAsia="宋体" w:cs="宋体"/>
          <w:kern w:val="0"/>
          <w:sz w:val="20"/>
          <w:szCs w:val="20"/>
          <w:lang w:val="en-US" w:eastAsia="zh-CN" w:bidi="ar"/>
        </w:rPr>
      </w:pPr>
    </w:p>
    <w:p w14:paraId="4827340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ascii="宋体" w:hAnsi="宋体" w:eastAsia="宋体" w:cs="宋体"/>
          <w:kern w:val="0"/>
          <w:sz w:val="20"/>
          <w:szCs w:val="20"/>
          <w:lang w:val="en-US" w:eastAsia="zh-CN" w:bidi="ar"/>
        </w:rPr>
      </w:pPr>
    </w:p>
    <w:p w14:paraId="346BCD32">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免责条款</w:t>
      </w:r>
    </w:p>
    <w:p w14:paraId="12D6692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因不可抗力（包括但不限于地震、火灾、洪水、战争、政策调整、海外仓所在国法律法规变更等不可预见、不可避免且不可克服的事件）导致本协议无法履行，或导致货物损坏、丢失、无法及时处理的，双方互不承担违约责任，但应及时书面通知知对方。</w:t>
      </w:r>
    </w:p>
    <w:p w14:paraId="5A9A518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（2）因乙方逾期未处理货物，导致货物损坏、丢失、贬值，或产生额外费用的，由乙方自行承担，甲方不承担任何责任。</w:t>
      </w:r>
    </w:p>
    <w:p w14:paraId="3D41359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（3）因乙方货物本身存在质量问题、瑕疵，或因乙方自身原因导致的任何损失，由乙方自行承担，与甲方无关。</w:t>
      </w:r>
    </w:p>
    <w:p w14:paraId="16D5DB7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ascii="宋体" w:hAnsi="宋体" w:eastAsia="宋体" w:cs="宋体"/>
          <w:kern w:val="0"/>
          <w:sz w:val="20"/>
          <w:szCs w:val="20"/>
          <w:lang w:val="en-US" w:eastAsia="zh-CN" w:bidi="ar"/>
        </w:rPr>
      </w:pPr>
    </w:p>
    <w:p w14:paraId="6BB8227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ascii="宋体" w:hAnsi="宋体" w:eastAsia="宋体" w:cs="宋体"/>
          <w:kern w:val="0"/>
          <w:sz w:val="20"/>
          <w:szCs w:val="20"/>
          <w:lang w:val="en-US" w:eastAsia="zh-CN" w:bidi="ar"/>
        </w:rPr>
      </w:pPr>
    </w:p>
    <w:p w14:paraId="5AF9879D">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争议解决</w:t>
      </w:r>
    </w:p>
    <w:p w14:paraId="10BC0ED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本协议履行过程中发生的任何争议，双方应首先友好协商解决；协商不成的，任何一方均有权向甲方所在地有管辖权的人民法院提起诉讼。</w:t>
      </w:r>
    </w:p>
    <w:p w14:paraId="7C6D6C9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left"/>
        <w:textAlignment w:val="auto"/>
        <w:rPr>
          <w:rFonts w:ascii="宋体" w:hAnsi="宋体" w:eastAsia="宋体" w:cs="宋体"/>
          <w:kern w:val="0"/>
          <w:sz w:val="20"/>
          <w:szCs w:val="20"/>
          <w:lang w:val="en-US" w:eastAsia="zh-CN" w:bidi="ar"/>
        </w:rPr>
      </w:pPr>
    </w:p>
    <w:p w14:paraId="40F8627E">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tLeast"/>
        <w:jc w:val="left"/>
        <w:textAlignment w:val="auto"/>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kern w:val="2"/>
          <w:sz w:val="24"/>
          <w:szCs w:val="24"/>
          <w:highlight w:val="none"/>
          <w:lang w:val="en-US" w:eastAsia="zh-CN" w:bidi="ar-SA"/>
        </w:rPr>
        <w:t>其他</w:t>
      </w:r>
    </w:p>
    <w:p w14:paraId="49E7E50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（1）本协议未尽事宜，双方可另行签订补充协议，补充协议与本协议具有同等法律效力。</w:t>
      </w:r>
    </w:p>
    <w:p w14:paraId="6250D46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（2）本协议一式两份，甲乙双方各执一份，自双方签字盖章之日起生效，具有同等法律效力。</w:t>
      </w:r>
    </w:p>
    <w:p w14:paraId="1D9052D9">
      <w:pPr>
        <w:keepNext w:val="0"/>
        <w:keepLines w:val="0"/>
        <w:widowControl/>
        <w:suppressLineNumbers w:val="0"/>
        <w:jc w:val="left"/>
        <w:rPr>
          <w:rFonts w:ascii="宋体" w:hAnsi="宋体" w:eastAsia="宋体" w:cs="宋体"/>
          <w:kern w:val="0"/>
          <w:sz w:val="24"/>
          <w:szCs w:val="24"/>
          <w:lang w:val="en-US" w:eastAsia="zh-CN" w:bidi="ar"/>
        </w:rPr>
      </w:pPr>
    </w:p>
    <w:p w14:paraId="5C25FC4A">
      <w:pPr>
        <w:keepNext w:val="0"/>
        <w:keepLines w:val="0"/>
        <w:widowControl/>
        <w:suppressLineNumbers w:val="0"/>
        <w:jc w:val="left"/>
        <w:rPr>
          <w:rFonts w:ascii="宋体" w:hAnsi="宋体" w:eastAsia="宋体" w:cs="宋体"/>
          <w:kern w:val="0"/>
          <w:sz w:val="24"/>
          <w:szCs w:val="24"/>
          <w:lang w:val="en-US" w:eastAsia="zh-CN" w:bidi="ar"/>
        </w:rPr>
      </w:pPr>
    </w:p>
    <w:p w14:paraId="38D748CD">
      <w:pPr>
        <w:keepNext w:val="0"/>
        <w:keepLines w:val="0"/>
        <w:widowControl/>
        <w:suppressLineNumbers w:val="0"/>
        <w:jc w:val="left"/>
        <w:rPr>
          <w:rFonts w:ascii="宋体" w:hAnsi="宋体" w:eastAsia="宋体" w:cs="宋体"/>
          <w:kern w:val="0"/>
          <w:sz w:val="24"/>
          <w:szCs w:val="24"/>
          <w:lang w:val="en-US" w:eastAsia="zh-CN" w:bidi="ar"/>
        </w:rPr>
      </w:pPr>
    </w:p>
    <w:p w14:paraId="06F4BBDC">
      <w:pPr>
        <w:keepNext w:val="0"/>
        <w:keepLines w:val="0"/>
        <w:widowControl/>
        <w:suppressLineNumbers w:val="0"/>
        <w:jc w:val="left"/>
        <w:rPr>
          <w:rFonts w:ascii="宋体" w:hAnsi="宋体" w:eastAsia="宋体" w:cs="宋体"/>
          <w:kern w:val="0"/>
          <w:sz w:val="24"/>
          <w:szCs w:val="24"/>
          <w:lang w:val="en-US" w:eastAsia="zh-CN" w:bidi="ar"/>
        </w:rPr>
      </w:pPr>
    </w:p>
    <w:p w14:paraId="62572982">
      <w:pPr>
        <w:keepNext w:val="0"/>
        <w:keepLines w:val="0"/>
        <w:widowControl/>
        <w:suppressLineNumbers w:val="0"/>
        <w:jc w:val="left"/>
        <w:rPr>
          <w:rFonts w:ascii="宋体" w:hAnsi="宋体" w:eastAsia="宋体" w:cs="宋体"/>
          <w:kern w:val="0"/>
          <w:sz w:val="24"/>
          <w:szCs w:val="24"/>
          <w:lang w:val="en-US" w:eastAsia="zh-CN" w:bidi="ar"/>
        </w:rPr>
      </w:pPr>
    </w:p>
    <w:p w14:paraId="20DB0399">
      <w:pPr>
        <w:keepNext w:val="0"/>
        <w:keepLines w:val="0"/>
        <w:widowControl/>
        <w:suppressLineNumbers w:val="0"/>
        <w:jc w:val="left"/>
        <w:rPr>
          <w:rFonts w:ascii="宋体" w:hAnsi="宋体" w:eastAsia="宋体" w:cs="宋体"/>
          <w:kern w:val="0"/>
          <w:sz w:val="24"/>
          <w:szCs w:val="24"/>
          <w:lang w:val="en-US" w:eastAsia="zh-CN" w:bidi="ar"/>
        </w:rPr>
      </w:pPr>
    </w:p>
    <w:p w14:paraId="196F619B">
      <w:pPr>
        <w:keepNext w:val="0"/>
        <w:keepLines w:val="0"/>
        <w:widowControl/>
        <w:suppressLineNumbers w:val="0"/>
        <w:jc w:val="left"/>
        <w:rPr>
          <w:rFonts w:ascii="宋体" w:hAnsi="宋体" w:eastAsia="宋体" w:cs="宋体"/>
          <w:kern w:val="0"/>
          <w:sz w:val="24"/>
          <w:szCs w:val="24"/>
          <w:lang w:val="en-US" w:eastAsia="zh-CN" w:bidi="ar"/>
        </w:rPr>
      </w:pPr>
    </w:p>
    <w:p w14:paraId="4E748506">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b/>
          <w:bCs/>
          <w:color w:val="auto"/>
          <w:sz w:val="24"/>
          <w:szCs w:val="24"/>
          <w:highlight w:val="none"/>
          <w:u w:val="none"/>
          <w:lang w:val="en-US" w:eastAsia="zh-CN"/>
        </w:rPr>
      </w:pPr>
      <w:r>
        <w:rPr>
          <w:rFonts w:hint="eastAsia" w:ascii="仿宋" w:hAnsi="仿宋" w:eastAsia="仿宋" w:cs="仿宋"/>
          <w:b/>
          <w:bCs/>
          <w:color w:val="auto"/>
          <w:sz w:val="24"/>
          <w:szCs w:val="24"/>
          <w:highlight w:val="none"/>
          <w:u w:val="none"/>
          <w:lang w:val="en-US" w:eastAsia="zh-CN"/>
        </w:rPr>
        <w:t>甲方（盖章）：                             乙方（盖章）：</w:t>
      </w:r>
    </w:p>
    <w:p w14:paraId="26FFA744">
      <w:pPr>
        <w:keepNext w:val="0"/>
        <w:keepLines w:val="0"/>
        <w:pageBreakBefore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b/>
          <w:bCs/>
          <w:color w:val="auto"/>
          <w:sz w:val="24"/>
          <w:szCs w:val="24"/>
          <w:highlight w:val="none"/>
          <w:u w:val="single"/>
          <w:lang w:val="en-US" w:eastAsia="zh-CN"/>
        </w:rPr>
      </w:pPr>
      <w:r>
        <w:rPr>
          <w:rFonts w:hint="eastAsia" w:ascii="仿宋" w:hAnsi="仿宋" w:eastAsia="仿宋" w:cs="仿宋"/>
          <w:b/>
          <w:bCs/>
          <w:color w:val="auto"/>
          <w:sz w:val="24"/>
          <w:szCs w:val="24"/>
          <w:highlight w:val="none"/>
          <w:u w:val="none"/>
          <w:lang w:val="en-US" w:eastAsia="zh-CN"/>
        </w:rPr>
        <w:t>授权代表（签字）：                         授权代表（签字）：</w:t>
      </w:r>
    </w:p>
    <w:p w14:paraId="0703E3A0">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6264" w:firstLineChars="2600"/>
        <w:jc w:val="left"/>
        <w:textAlignment w:val="auto"/>
        <w:rPr>
          <w:rFonts w:hint="eastAsia" w:ascii="仿宋" w:hAnsi="仿宋" w:eastAsia="仿宋" w:cs="仿宋"/>
          <w:b/>
          <w:bCs/>
          <w:color w:val="auto"/>
          <w:sz w:val="24"/>
          <w:szCs w:val="24"/>
          <w:highlight w:val="none"/>
          <w:lang w:val="en-US" w:eastAsia="zh-CN"/>
        </w:rPr>
      </w:pPr>
    </w:p>
    <w:p w14:paraId="222AEA09">
      <w:pPr>
        <w:keepNext w:val="0"/>
        <w:keepLines w:val="0"/>
        <w:pageBreakBefore w:val="0"/>
        <w:numPr>
          <w:ilvl w:val="0"/>
          <w:numId w:val="0"/>
        </w:numPr>
        <w:kinsoku/>
        <w:wordWrap/>
        <w:overflowPunct/>
        <w:topLinePunct w:val="0"/>
        <w:autoSpaceDE/>
        <w:autoSpaceDN/>
        <w:bidi w:val="0"/>
        <w:adjustRightInd/>
        <w:snapToGrid/>
        <w:spacing w:line="360" w:lineRule="auto"/>
        <w:ind w:firstLine="5060" w:firstLineChars="2100"/>
        <w:jc w:val="left"/>
        <w:textAlignment w:val="auto"/>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签订日期：</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年</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月</w:t>
      </w:r>
      <w:r>
        <w:rPr>
          <w:rFonts w:hint="eastAsia" w:ascii="仿宋" w:hAnsi="仿宋" w:eastAsia="仿宋" w:cs="仿宋"/>
          <w:b/>
          <w:bCs/>
          <w:color w:val="auto"/>
          <w:sz w:val="24"/>
          <w:szCs w:val="24"/>
          <w:highlight w:val="none"/>
          <w:u w:val="single"/>
          <w:lang w:val="en-US" w:eastAsia="zh-CN"/>
        </w:rPr>
        <w:t xml:space="preserve">   </w:t>
      </w:r>
      <w:r>
        <w:rPr>
          <w:rFonts w:hint="eastAsia" w:ascii="仿宋" w:hAnsi="仿宋" w:eastAsia="仿宋" w:cs="仿宋"/>
          <w:b/>
          <w:bCs/>
          <w:color w:val="auto"/>
          <w:sz w:val="24"/>
          <w:szCs w:val="24"/>
          <w:highlight w:val="none"/>
          <w:lang w:val="en-US" w:eastAsia="zh-CN"/>
        </w:rPr>
        <w:t>日</w:t>
      </w:r>
    </w:p>
    <w:p w14:paraId="5191BFA8"/>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81F2E"/>
    <w:multiLevelType w:val="multilevel"/>
    <w:tmpl w:val="2A281F2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5F50EF"/>
    <w:rsid w:val="03E031CD"/>
    <w:rsid w:val="04982A1B"/>
    <w:rsid w:val="15794A47"/>
    <w:rsid w:val="180F222F"/>
    <w:rsid w:val="18D53478"/>
    <w:rsid w:val="1CF41481"/>
    <w:rsid w:val="24F53077"/>
    <w:rsid w:val="29422464"/>
    <w:rsid w:val="299A404E"/>
    <w:rsid w:val="2ABE59AA"/>
    <w:rsid w:val="2C1300E8"/>
    <w:rsid w:val="3112096E"/>
    <w:rsid w:val="3A5F50EF"/>
    <w:rsid w:val="40D45ACE"/>
    <w:rsid w:val="43B95DFB"/>
    <w:rsid w:val="4C230F43"/>
    <w:rsid w:val="54197EFD"/>
    <w:rsid w:val="566C6475"/>
    <w:rsid w:val="60673F83"/>
    <w:rsid w:val="60D03243"/>
    <w:rsid w:val="667F18FA"/>
    <w:rsid w:val="7AB878B3"/>
    <w:rsid w:val="7D991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Normal (Web)"/>
    <w:basedOn w:val="1"/>
    <w:qFormat/>
    <w:uiPriority w:val="99"/>
    <w:pPr>
      <w:widowControl/>
      <w:spacing w:before="100" w:beforeAutospacing="1" w:after="100" w:afterAutospacing="1"/>
      <w:jc w:val="left"/>
    </w:pPr>
    <w:rPr>
      <w:rFonts w:ascii="Times New Roman" w:hAnsi="Times New Roman" w:eastAsia="等线" w:cs="Times New Roman"/>
      <w:kern w:val="0"/>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2281</Words>
  <Characters>2338</Characters>
  <Lines>0</Lines>
  <Paragraphs>0</Paragraphs>
  <TotalTime>0</TotalTime>
  <ScaleCrop>false</ScaleCrop>
  <LinksUpToDate>false</LinksUpToDate>
  <CharactersWithSpaces>2405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2026-04-08T03:32:00Z</dcterms:created>
  <dc:creator>wenst</dc:creator>
  <cp:lastModifiedBy>Ming</cp:lastModifiedBy>
  <dcterms:modified xsi:type="dcterms:W3CDTF">2026-04-08T07:19:36Z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101C281A48134F32820926F13F0221C6_13</vt:lpwstr>
  </property>
  <property fmtid="{D5CDD505-2E9C-101B-9397-08002B2CF9AE}" pid="4" name="KSOTemplateDocerSaveRecord">
    <vt:lpwstr>eyJoZGlkIjoiMGQ2ODIyZThlMzY2Njk2NmZmYWEwMTA4ZmZjOWMwMDAiLCJ1c2VySWQiOiI0NzQ4MDAyMzMifQ==</vt:lpwstr>
  </property>
</Properties>
</file>