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2B579A"/>
          <w:sz w:val="52"/>
          <w:szCs w:val="52"/>
        </w:rPr>
        <w:t xml:space="preserve">CRUZBER</w:t>
      </w:r>
    </w:p>
    <w:p>
      <w:pPr>
        <w:spacing w:after="100"/>
        <w:jc w:val="center"/>
      </w:pPr>
      <w:r>
        <w:rPr>
          <w:rFonts w:ascii="Arial" w:cs="Arial" w:eastAsia="Arial" w:hAnsi="Arial"/>
          <w:color w:val="444444"/>
          <w:sz w:val="32"/>
          <w:szCs w:val="32"/>
        </w:rPr>
        <w:t xml:space="preserve">Modelo predictivo de demanda S&amp;OP</w:t>
      </w:r>
    </w:p>
    <w:p>
      <w:pPr>
        <w:spacing w:after="100"/>
        <w:jc w:val="center"/>
      </w:pPr>
      <w:r>
        <w:rPr>
          <w:rFonts w:ascii="Arial" w:cs="Arial" w:eastAsia="Arial" w:hAnsi="Arial"/>
          <w:color w:val="888888"/>
          <w:sz w:val="22"/>
          <w:szCs w:val="22"/>
        </w:rPr>
        <w:t xml:space="preserve">Horizonte 12 semanas | 3.315 SKUs | Mercado nacional</w:t>
      </w:r>
    </w:p>
    <w:p>
      <w:pPr>
        <w:spacing w:after="600"/>
        <w:jc w:val="center"/>
      </w:pPr>
      <w:r>
        <w:rPr>
          <w:rFonts w:ascii="Arial" w:cs="Arial" w:eastAsia="Arial" w:hAnsi="Arial"/>
          <w:color w:val="888888"/>
          <w:sz w:val="22"/>
          <w:szCs w:val="22"/>
        </w:rPr>
        <w:t xml:space="preserve">Iteración 28 — Versión definitiva</w:t>
      </w:r>
    </w:p>
    <w:p>
      <w:pPr>
        <w:pBdr>
          <w:top w:val="single" w:color="2B579A" w:sz="6" w:space="1"/>
        </w:pBdr>
        <w:spacing w:after="200"/>
        <w:jc w:val="center"/>
      </w:pPr>
    </w:p>
    <w:p>
      <w:pPr>
        <w:spacing w:after="100"/>
        <w:jc w:val="center"/>
      </w:pPr>
      <w:r>
        <w:rPr>
          <w:rFonts w:ascii="Arial" w:cs="Arial" w:eastAsia="Arial" w:hAnsi="Arial"/>
          <w:color w:val="888888"/>
          <w:sz w:val="22"/>
          <w:szCs w:val="22"/>
        </w:rPr>
        <w:t xml:space="preserve">Abril 2025</w:t>
      </w:r>
    </w:p>
    <w:p>
      <w:pPr>
        <w:jc w:val="center"/>
      </w:pPr>
      <w:r>
        <w:rPr>
          <w:rFonts w:ascii="Arial" w:cs="Arial" w:eastAsia="Arial" w:hAnsi="Arial"/>
          <w:color w:val="AAAAAA"/>
          <w:sz w:val="20"/>
          <w:szCs w:val="20"/>
        </w:rPr>
        <w:t xml:space="preserve">Departamento de Supply Chain &amp; Data Science</w:t>
      </w:r>
    </w:p>
    <w:p>
      <w:r>
        <w:br w:type="page"/>
      </w:r>
    </w:p>
    <w:p>
      <w:pPr>
        <w:pStyle w:val="Heading1"/>
      </w:pPr>
      <w:r>
        <w:t xml:space="preserve">1. Resumen ejecutivo</w:t>
      </w:r>
    </w:p>
    <w:p>
      <w:pPr>
        <w:spacing w:after="200"/>
      </w:pPr>
      <w:r>
        <w:t xml:space="preserve">Hemos construido un sistema de predicción de demanda que genera previsiones semanales a 12 semanas vista para las </w:t>
      </w:r>
      <w:r>
        <w:rPr>
          <w:b/>
          <w:bCs/>
        </w:rPr>
        <w:t xml:space="preserve">3.315 referencias</w:t>
      </w:r>
      <w:r>
        <w:t xml:space="preserve"> del catálogo nacional de CRUZBER. El sistema procesa 3 años de histórico de ventas, datos meteorológicos y calendario ciclista para producir un archivo Excel listo para las reuniones S&amp;OP.</w:t>
      </w:r>
    </w:p>
    <w:p>
      <w:pPr>
        <w:spacing w:after="200"/>
      </w:pPr>
      <w:r>
        <w:t xml:space="preserve">El modelo divide automáticamente el catálogo en 4 segmentos según el patrón de demanda y aplica un algoritmo diferente a cada uno: regresión directa para productos estables, y un modelo Hurdle (¿habrá venta? + ¿cuánto?) para productos esporádicos.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none" w:sz="0"/>
            </w:tcBorders>
            <w:shd w:fill="F5F7FA" w:val="clear"/>
            <w:tcMar>
              <w:top w:type="dxa" w:w="120"/>
              <w:left w:type="dxa" w:w="200"/>
              <w:bottom w:type="dxa" w:w="120"/>
              <w:right w:type="dxa" w:w="200"/>
            </w:tcMar>
          </w:tcPr>
          <w:p>
            <w:pPr>
              <w:spacing w:after="40"/>
            </w:pPr>
            <w:r>
              <w:rPr>
                <w:rFonts w:ascii="Arial" w:cs="Arial" w:eastAsia="Arial" w:hAnsi="Arial"/>
                <w:color w:val="666666"/>
                <w:sz w:val="18"/>
                <w:szCs w:val="18"/>
              </w:rPr>
              <w:t xml:space="preserve">WMAPE GLOBAL</w:t>
            </w:r>
          </w:p>
          <w:p>
            <w:pPr>
              <w:spacing w:after="40"/>
            </w:pPr>
            <w:r>
              <w:rPr>
                <w:rFonts w:ascii="Arial" w:cs="Arial" w:eastAsia="Arial" w:hAnsi="Arial"/>
                <w:b/>
                <w:bCs/>
                <w:color w:val="2B579A"/>
                <w:sz w:val="32"/>
                <w:szCs w:val="32"/>
              </w:rPr>
              <w:t xml:space="preserve">34.4%</w:t>
            </w:r>
          </w:p>
          <w:p>
            <w:r>
              <w:rPr>
                <w:rFonts w:ascii="Arial" w:cs="Arial" w:eastAsia="Arial" w:hAnsi="Arial"/>
                <w:color w:val="999999"/>
                <w:sz w:val="16"/>
                <w:szCs w:val="16"/>
              </w:rPr>
              <w:t xml:space="preserve">Error ponderado</w:t>
            </w:r>
          </w:p>
        </w:tc>
        <w:tc>
          <w:tcPr>
            <w:tcW w:type="dxa" w:w="2340"/>
            <w:tcBorders>
              <w:top w:val="none" w:sz="0"/>
              <w:left w:val="none" w:sz="0"/>
              <w:bottom w:val="none" w:sz="0"/>
              <w:right w:val="none" w:sz="0"/>
            </w:tcBorders>
            <w:shd w:fill="F5F7FA" w:val="clear"/>
            <w:tcMar>
              <w:top w:type="dxa" w:w="120"/>
              <w:left w:type="dxa" w:w="200"/>
              <w:bottom w:type="dxa" w:w="120"/>
              <w:right w:type="dxa" w:w="200"/>
            </w:tcMar>
          </w:tcPr>
          <w:p>
            <w:pPr>
              <w:spacing w:after="40"/>
            </w:pPr>
            <w:r>
              <w:rPr>
                <w:rFonts w:ascii="Arial" w:cs="Arial" w:eastAsia="Arial" w:hAnsi="Arial"/>
                <w:color w:val="666666"/>
                <w:sz w:val="18"/>
                <w:szCs w:val="18"/>
              </w:rPr>
              <w:t xml:space="preserve">R²</w:t>
            </w:r>
          </w:p>
          <w:p>
            <w:pPr>
              <w:spacing w:after="40"/>
            </w:pPr>
            <w:r>
              <w:rPr>
                <w:rFonts w:ascii="Arial" w:cs="Arial" w:eastAsia="Arial" w:hAnsi="Arial"/>
                <w:b/>
                <w:bCs/>
                <w:color w:val="2B579A"/>
                <w:sz w:val="32"/>
                <w:szCs w:val="32"/>
              </w:rPr>
              <w:t xml:space="preserve">0.897</w:t>
            </w:r>
          </w:p>
          <w:p>
            <w:r>
              <w:rPr>
                <w:rFonts w:ascii="Arial" w:cs="Arial" w:eastAsia="Arial" w:hAnsi="Arial"/>
                <w:color w:val="999999"/>
                <w:sz w:val="16"/>
                <w:szCs w:val="16"/>
              </w:rPr>
              <w:t xml:space="preserve">Varianza explicada</w:t>
            </w:r>
          </w:p>
        </w:tc>
        <w:tc>
          <w:tcPr>
            <w:tcW w:type="dxa" w:w="2340"/>
            <w:tcBorders>
              <w:top w:val="none" w:sz="0"/>
              <w:left w:val="none" w:sz="0"/>
              <w:bottom w:val="none" w:sz="0"/>
              <w:right w:val="none" w:sz="0"/>
            </w:tcBorders>
            <w:shd w:fill="F5F7FA" w:val="clear"/>
            <w:tcMar>
              <w:top w:type="dxa" w:w="120"/>
              <w:left w:type="dxa" w:w="200"/>
              <w:bottom w:type="dxa" w:w="120"/>
              <w:right w:type="dxa" w:w="200"/>
            </w:tcMar>
          </w:tcPr>
          <w:p>
            <w:pPr>
              <w:spacing w:after="40"/>
            </w:pPr>
            <w:r>
              <w:rPr>
                <w:rFonts w:ascii="Arial" w:cs="Arial" w:eastAsia="Arial" w:hAnsi="Arial"/>
                <w:color w:val="666666"/>
                <w:sz w:val="18"/>
                <w:szCs w:val="18"/>
              </w:rPr>
              <w:t xml:space="preserve">SMOOTH</w:t>
            </w:r>
          </w:p>
          <w:p>
            <w:pPr>
              <w:spacing w:after="40"/>
            </w:pPr>
            <w:r>
              <w:rPr>
                <w:rFonts w:ascii="Arial" w:cs="Arial" w:eastAsia="Arial" w:hAnsi="Arial"/>
                <w:b/>
                <w:bCs/>
                <w:color w:val="2B579A"/>
                <w:sz w:val="32"/>
                <w:szCs w:val="32"/>
              </w:rPr>
              <w:t xml:space="preserve">17.3%</w:t>
            </w:r>
          </w:p>
          <w:p>
            <w:r>
              <w:rPr>
                <w:rFonts w:ascii="Arial" w:cs="Arial" w:eastAsia="Arial" w:hAnsi="Arial"/>
                <w:color w:val="999999"/>
                <w:sz w:val="16"/>
                <w:szCs w:val="16"/>
              </w:rPr>
              <w:t xml:space="preserve">Productos estables</w:t>
            </w:r>
          </w:p>
        </w:tc>
        <w:tc>
          <w:tcPr>
            <w:tcW w:type="dxa" w:w="2340"/>
            <w:tcBorders>
              <w:top w:val="none" w:sz="0"/>
              <w:left w:val="none" w:sz="0"/>
              <w:bottom w:val="none" w:sz="0"/>
              <w:right w:val="none" w:sz="0"/>
            </w:tcBorders>
            <w:shd w:fill="F5F7FA" w:val="clear"/>
            <w:tcMar>
              <w:top w:type="dxa" w:w="120"/>
              <w:left w:type="dxa" w:w="200"/>
              <w:bottom w:type="dxa" w:w="120"/>
              <w:right w:type="dxa" w:w="200"/>
            </w:tcMar>
          </w:tcPr>
          <w:p>
            <w:pPr>
              <w:spacing w:after="40"/>
            </w:pPr>
            <w:r>
              <w:rPr>
                <w:rFonts w:ascii="Arial" w:cs="Arial" w:eastAsia="Arial" w:hAnsi="Arial"/>
                <w:color w:val="666666"/>
                <w:sz w:val="18"/>
                <w:szCs w:val="18"/>
              </w:rPr>
              <w:t xml:space="preserve">ESTABILIDAD</w:t>
            </w:r>
          </w:p>
          <w:p>
            <w:pPr>
              <w:spacing w:after="40"/>
            </w:pPr>
            <w:r>
              <w:rPr>
                <w:rFonts w:ascii="Arial" w:cs="Arial" w:eastAsia="Arial" w:hAnsi="Arial"/>
                <w:b/>
                <w:bCs/>
                <w:color w:val="2B579A"/>
                <w:sz w:val="32"/>
                <w:szCs w:val="32"/>
              </w:rPr>
              <w:t xml:space="preserve">±2.8%</w:t>
            </w:r>
          </w:p>
          <w:p>
            <w:r>
              <w:rPr>
                <w:rFonts w:ascii="Arial" w:cs="Arial" w:eastAsia="Arial" w:hAnsi="Arial"/>
                <w:color w:val="999999"/>
                <w:sz w:val="16"/>
                <w:szCs w:val="16"/>
              </w:rPr>
              <w:t xml:space="preserve">Desv. semanal</w:t>
            </w:r>
          </w:p>
        </w:tc>
      </w:tr>
    </w:tbl>
    <w:p>
      <w:pPr>
        <w:spacing w:after="200" w:before="300"/>
      </w:pPr>
    </w:p>
    <w:p>
      <w:pPr>
        <w:pStyle w:val="Heading1"/>
      </w:pPr>
      <w:r>
        <w:t xml:space="preserve">2. Resultados por segmento</w:t>
      </w:r>
    </w:p>
    <w:p>
      <w:pPr>
        <w:spacing w:after="200"/>
      </w:pPr>
      <w:r>
        <w:t xml:space="preserve">La clasificación Syntetos-Boylan divide el catálogo en 4 segmentos según la frecuencia y volatilidad de la demanda. Cada segmento tiene un nivel de error esperable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500"/>
        <w:gridCol w:w="1500"/>
        <w:gridCol w:w="2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Segmento</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 catálogo</w:t>
            </w:r>
          </w:p>
        </w:tc>
        <w:tc>
          <w:tcPr>
            <w:tcW w:type="dxa" w:w="15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WMAPE</w:t>
            </w:r>
          </w:p>
        </w:tc>
        <w:tc>
          <w:tcPr>
            <w:tcW w:type="dxa" w:w="15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Valoración</w:t>
            </w:r>
          </w:p>
        </w:tc>
        <w:tc>
          <w:tcPr>
            <w:tcW w:type="dxa" w:w="2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Interpretación</w:t>
            </w:r>
          </w:p>
        </w:tc>
      </w:tr>
      <w:tr>
        <w:tc>
          <w:tcPr>
            <w:tcW w:type="dxa" w:w="2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Smooth</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3%</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17.3%</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Excelente</w:t>
            </w:r>
          </w:p>
        </w:tc>
        <w:tc>
          <w:tcPr>
            <w:tcW w:type="dxa" w:w="29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Nivel de retail. Automatizable.</w:t>
            </w:r>
          </w:p>
        </w:tc>
      </w:tr>
      <w:tr>
        <w:tc>
          <w:tcPr>
            <w:tcW w:type="dxa" w:w="2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Erratic</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4%</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25.9%</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Bueno</w:t>
            </w:r>
          </w:p>
        </w:tc>
        <w:tc>
          <w:tcPr>
            <w:tcW w:type="dxa" w:w="29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Dentro del estándar industrial.</w:t>
            </w:r>
          </w:p>
        </w:tc>
      </w:tr>
      <w:tr>
        <w:tc>
          <w:tcPr>
            <w:tcW w:type="dxa" w:w="2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Intermittent</w:t>
            </w:r>
          </w:p>
        </w:tc>
        <w:tc>
          <w:tcPr>
            <w:tcW w:type="dxa" w:w="1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sz w:val="20"/>
                <w:szCs w:val="20"/>
              </w:rPr>
              <w:t xml:space="preserve">67%</w:t>
            </w:r>
          </w:p>
        </w:tc>
        <w:tc>
          <w:tcPr>
            <w:tcW w:type="dxa" w:w="15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sz w:val="20"/>
                <w:szCs w:val="20"/>
              </w:rPr>
              <w:t xml:space="preserve">56.1%</w:t>
            </w:r>
          </w:p>
        </w:tc>
        <w:tc>
          <w:tcPr>
            <w:tcW w:type="dxa" w:w="15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sz w:val="20"/>
                <w:szCs w:val="20"/>
              </w:rPr>
              <w:t xml:space="preserve">Esperado</w:t>
            </w:r>
          </w:p>
        </w:tc>
        <w:tc>
          <w:tcPr>
            <w:tcW w:type="dxa" w:w="296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sz w:val="20"/>
                <w:szCs w:val="20"/>
              </w:rPr>
              <w:t xml:space="preserve">Sin stock-out data, difícil mejorar.</w:t>
            </w:r>
          </w:p>
        </w:tc>
      </w:tr>
      <w:tr>
        <w:tc>
          <w:tcPr>
            <w:tcW w:type="dxa" w:w="2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Lumpy</w:t>
            </w:r>
          </w:p>
        </w:tc>
        <w:tc>
          <w:tcPr>
            <w:tcW w:type="dxa" w:w="1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sz w:val="20"/>
                <w:szCs w:val="20"/>
              </w:rPr>
              <w:t xml:space="preserve">26%</w:t>
            </w:r>
          </w:p>
        </w:tc>
        <w:tc>
          <w:tcPr>
            <w:tcW w:type="dxa" w:w="15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sz w:val="20"/>
                <w:szCs w:val="20"/>
              </w:rPr>
              <w:t xml:space="preserve">54.6%</w:t>
            </w:r>
          </w:p>
        </w:tc>
        <w:tc>
          <w:tcPr>
            <w:tcW w:type="dxa" w:w="15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sz w:val="20"/>
                <w:szCs w:val="20"/>
              </w:rPr>
              <w:t xml:space="preserve">Esperado</w:t>
            </w:r>
          </w:p>
        </w:tc>
        <w:tc>
          <w:tcPr>
            <w:tcW w:type="dxa" w:w="296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sz w:val="20"/>
                <w:szCs w:val="20"/>
              </w:rPr>
              <w:t xml:space="preserve">Cola larga B2B. Requiere criterio comercial.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GLOBAL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34.4%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Competitivo</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Competitivo para B2B industrial sin POS.</w:t>
            </w:r>
          </w:p>
        </w:tc>
      </w:tr>
    </w:tbl>
    <w:p>
      <w:pPr>
        <w:pStyle w:val="Heading2"/>
        <w:spacing w:before="300"/>
      </w:pPr>
      <w:r>
        <w:t xml:space="preserve">Por clasificación ABC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Clase</w:t>
            </w:r>
          </w:p>
        </w:tc>
        <w:tc>
          <w:tcPr>
            <w:tcW w:type="dxa" w:w="312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WMAPE</w:t>
            </w:r>
          </w:p>
        </w:tc>
        <w:tc>
          <w:tcPr>
            <w:tcW w:type="dxa" w:w="312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Nota</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 (alto volumen)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31.5%</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Los productos que más facturan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 (medio)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29.8%</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Mejor segmento por ABC</w:t>
            </w:r>
          </w:p>
        </w:tc>
      </w:tr>
      <w:tr>
        <w:tc>
          <w:tcPr>
            <w:tcW w:type="dxa" w:w="312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C (bajo volumen)</w:t>
            </w:r>
          </w:p>
        </w:tc>
        <w:tc>
          <w:tcPr>
            <w:tcW w:type="dxa" w:w="312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sz w:val="20"/>
                <w:szCs w:val="20"/>
              </w:rPr>
              <w:t xml:space="preserve">67.1%</w:t>
            </w:r>
          </w:p>
        </w:tc>
        <w:tc>
          <w:tcPr>
            <w:tcW w:type="dxa" w:w="312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sz w:val="20"/>
                <w:szCs w:val="20"/>
              </w:rPr>
              <w:t xml:space="preserve">Dominado por intermitentes</w:t>
            </w:r>
          </w:p>
        </w:tc>
      </w:tr>
    </w:tbl>
    <w:p>
      <w:r>
        <w:br w:type="page"/>
      </w:r>
    </w:p>
    <w:p>
      <w:pPr>
        <w:pStyle w:val="Heading1"/>
      </w:pPr>
      <w:r>
        <w:t xml:space="preserve">3. Estabilidad temporal (walk-forward)</w:t>
      </w:r>
    </w:p>
    <w:p>
      <w:pPr>
        <w:spacing w:after="200"/>
      </w:pPr>
      <w:r>
        <w:t xml:space="preserve">Simulamos semana a semana qué habría predicho el modelo durante las 27 semanas de 2024. El WMAPE se mantiene estable entre el 30% y el 40%, sin picos ni caídas bruscas: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Métrica</w:t>
            </w:r>
          </w:p>
        </w:tc>
        <w:tc>
          <w:tcPr>
            <w:tcW w:type="dxa" w:w="468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WMAPE medio semanal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34.6%</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Desviación estándar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Mejor semana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S17: 30.1%</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Peor semana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S9: 39.8%</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Sesgo medio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-20.4% (subpredicción)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Semanas con sobrepredicción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de 27</w:t>
            </w:r>
          </w:p>
        </w:tc>
      </w:tr>
    </w:tbl>
    <w:p>
      <w:pPr>
        <w:spacing w:before="300"/>
      </w:pPr>
    </w:p>
    <w:p>
      <w:pPr>
        <w:pStyle w:val="Heading1"/>
      </w:pPr>
      <w:r>
        <w:t xml:space="preserve">4. Impacto operativo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Indicador</w:t>
            </w:r>
          </w:p>
        </w:tc>
        <w:tc>
          <w:tcPr>
            <w:tcW w:type="dxa" w:w="468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Tasa de rotura (pred &lt; real)</w:t>
            </w:r>
          </w:p>
        </w:tc>
        <w:tc>
          <w:tcPr>
            <w:tcW w:type="dxa" w:w="468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r>
              <w:rPr>
                <w:rFonts w:ascii="Arial" w:cs="Arial" w:eastAsia="Arial" w:hAnsi="Arial"/>
                <w:sz w:val="20"/>
                <w:szCs w:val="20"/>
              </w:rPr>
              <w:t xml:space="preserve">32.7% de SKUs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Unidades en riesgo de rotura</w:t>
            </w:r>
          </w:p>
        </w:tc>
        <w:tc>
          <w:tcPr>
            <w:tcW w:type="dxa" w:w="468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r>
              <w:rPr>
                <w:rFonts w:ascii="Arial" w:cs="Arial" w:eastAsia="Arial" w:hAnsi="Arial"/>
                <w:sz w:val="20"/>
                <w:szCs w:val="20"/>
              </w:rPr>
              <w:t xml:space="preserve">37.841 uds (27 sem)</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Sobrestock fantasma (pred &gt; 0, real = 0)</w:t>
            </w:r>
          </w:p>
        </w:tc>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2.2% de SKUs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Unidades en exceso</w:t>
            </w:r>
          </w:p>
        </w:tc>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6.999 uds (27 sem)</w:t>
            </w:r>
          </w:p>
        </w:tc>
      </w:tr>
    </w:tbl>
    <w:p>
      <w:pPr>
        <w:spacing w:after="200" w:before="200"/>
      </w:pPr>
      <w:r>
        <w:rPr>
          <w:b/>
          <w:bCs/>
        </w:rPr>
        <w:t xml:space="preserve">Interpretación: </w:t>
      </w:r>
      <w:r>
        <w:t xml:space="preserve">El modelo es conservador. Prefiere no pedir a pedir de más. Esto minimiza el coste de sobrestock pero aumenta el riesgo de roturas en productos esporádicos.</w:t>
      </w:r>
    </w:p>
    <w:p>
      <w:r>
        <w:br w:type="page"/>
      </w:r>
    </w:p>
    <w:p>
      <w:pPr>
        <w:pStyle w:val="Heading1"/>
      </w:pPr>
      <w:r>
        <w:t xml:space="preserve">5. Limitaciones conocidas</w:t>
      </w:r>
    </w:p>
    <w:p>
      <w:pPr>
        <w:pStyle w:val="ListParagraph"/>
        <w:numPr>
          <w:ilvl w:val="0"/>
          <w:numId w:val="2"/>
        </w:numPr>
        <w:spacing w:after="120"/>
      </w:pPr>
      <w:r>
        <w:rPr>
          <w:b/>
          <w:bCs/>
        </w:rPr>
        <w:t xml:space="preserve">Sin datos de stock-out. </w:t>
      </w:r>
      <w:r>
        <w:t xml:space="preserve">El ERP no registra cuándo un producto no se vendió por falta de stock. El modelo no puede distinguir ausencia de demanda de ausencia de stock, lo que subestima la demanda real de productos intermitentes.</w:t>
      </w:r>
    </w:p>
    <w:p>
      <w:pPr>
        <w:pStyle w:val="ListParagraph"/>
        <w:numPr>
          <w:ilvl w:val="0"/>
          <w:numId w:val="2"/>
        </w:numPr>
        <w:spacing w:after="120"/>
      </w:pPr>
      <w:r>
        <w:rPr>
          <w:b/>
          <w:bCs/>
        </w:rPr>
        <w:t xml:space="preserve">Sesgo negativo sistémico (-20.4%). </w:t>
      </w:r>
      <w:r>
        <w:t xml:space="preserve">El modelo subpredice en las 27 semanas evaluadas. El umbral del Hurdle (0.67) pone a cero muchos productos con probabilidad media de venta.</w:t>
      </w:r>
    </w:p>
    <w:p>
      <w:pPr>
        <w:pStyle w:val="ListParagraph"/>
        <w:numPr>
          <w:ilvl w:val="0"/>
          <w:numId w:val="2"/>
        </w:numPr>
        <w:spacing w:after="120"/>
      </w:pPr>
      <w:r>
        <w:rPr>
          <w:b/>
          <w:bCs/>
        </w:rPr>
        <w:t xml:space="preserve">Memorización parcial del Hurdle (+16pp gap). </w:t>
      </w:r>
      <w:r>
        <w:t xml:space="preserve">El modelo de productos esporádicos generaliza peor que el de productos estables (+4.6pp). Es inherente a la escasez de datos de productos que apenas venden.</w:t>
      </w:r>
    </w:p>
    <w:p>
      <w:pPr>
        <w:pStyle w:val="ListParagraph"/>
        <w:numPr>
          <w:ilvl w:val="0"/>
          <w:numId w:val="2"/>
        </w:numPr>
        <w:spacing w:after="200"/>
      </w:pPr>
      <w:r>
        <w:rPr>
          <w:b/>
          <w:bCs/>
        </w:rPr>
        <w:t xml:space="preserve">Agregación nacional. </w:t>
      </w:r>
      <w:r>
        <w:t xml:space="preserve">El modelo predice a nivel España. Una versión futura podría modelar demanda por provincia.</w:t>
      </w:r>
    </w:p>
    <w:p>
      <w:pPr>
        <w:pStyle w:val="Heading1"/>
      </w:pPr>
      <w:r>
        <w:t xml:space="preserve">6. Próximos pasos recomendados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200"/>
        <w:gridCol w:w="2360"/>
      </w:tblGrid>
      <w:tr>
        <w:tc>
          <w:tcPr>
            <w:tcW w:type="dxa" w:w="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Mejora</w:t>
            </w:r>
          </w:p>
        </w:tc>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Impacto esperado</w:t>
            </w:r>
          </w:p>
        </w:tc>
        <w:tc>
          <w:tcPr>
            <w:tcW w:type="dxa" w:w="2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Complejidad</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Integrar datos de stock-out del ERP</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WMAPE intermitente del 55% al ~40%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Alta (requiere IT)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Modelado regional (por provincia)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Capturar estacionalidad local</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 automatizado semanal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Eliminar ejecución manual</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 Power BI conectado</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Visibilidad S&amp;OP en tiempo real</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r>
    </w:tbl>
    <w:p>
      <w:pPr>
        <w:spacing w:before="400"/>
      </w:pPr>
    </w:p>
    <w:p>
      <w:pPr>
        <w:pStyle w:val="Heading1"/>
      </w:pPr>
      <w:r>
        <w:t xml:space="preserve">7. Benchmark histórico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Métrica</w:t>
            </w:r>
          </w:p>
        </w:tc>
        <w:tc>
          <w:tcPr>
            <w:tcW w:type="dxa" w:w="234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Base (NB23)</w:t>
            </w:r>
          </w:p>
        </w:tc>
        <w:tc>
          <w:tcPr>
            <w:tcW w:type="dxa" w:w="234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Leaked (NB25)</w:t>
            </w:r>
          </w:p>
        </w:tc>
        <w:tc>
          <w:tcPr>
            <w:tcW w:type="dxa" w:w="234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sz w:val="20"/>
                <w:szCs w:val="20"/>
              </w:rPr>
              <w:t xml:space="preserve">Limpio (NB28)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WMAPE global</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34.4%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WMAPE Smooth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22.7%*</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17.3%</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R² global</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0.901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0.939*</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0.897</w:t>
            </w:r>
          </w:p>
        </w:tc>
      </w:tr>
    </w:tbl>
    <w:p>
      <w:pPr>
        <w:spacing w:after="200" w:before="100"/>
      </w:pPr>
      <w:r>
        <w:rPr>
          <w:rFonts w:ascii="Arial" w:cs="Arial" w:eastAsia="Arial" w:hAnsi="Arial"/>
          <w:i/>
          <w:iCs/>
          <w:color w:val="888888"/>
          <w:sz w:val="18"/>
          <w:szCs w:val="18"/>
        </w:rPr>
        <w:t xml:space="preserve">*Métricas NB25 infladas por contaminación de datos. Las métricas NB28 son las primeras completamente limpias.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B579A"/>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B579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2026-04-12T19:08:30.726Z</dcterms:created>
  <dcterms:modified xsi:type="dcterms:W3CDTF">2026-04-12T19:08:30.727Z</dcterms:modified>
</cp:coreProperties>
</file>

<file path=docProps/custom.xml><?xml version="1.0" encoding="utf-8"?>
<Properties xmlns="http://schemas.openxmlformats.org/officeDocument/2006/custom-properties" xmlns:vt="http://schemas.openxmlformats.org/officeDocument/2006/docPropsVTypes"/>
</file>