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CRUZBER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Sistema de predicción de demanda S&amp;OP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Resumen ejecutivo: estrategia híbrida por segmento</w:t>
      </w:r>
    </w:p>
    <w:p>
      <w:pPr>
        <w:spacing w:before="200"/>
      </w:pPr>
    </w:p>
    <w:p>
      <w:pPr>
        <w:pBdr>
          <w:bottom w:val="single" w:color="1F3864" w:sz="4" w:space="1"/>
        </w:pBd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Iteración 30 v2 — Modelo de producción definitivo</w:t>
      </w:r>
    </w:p>
    <w:p>
      <w:pPr>
        <w:spacing w:after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3.315 productos | 89.505 predicciones | 27 semanas de 2024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Abril 2025</w:t>
      </w:r>
    </w:p>
    <w:p>
      <w:r>
        <w:br w:type="page"/>
      </w:r>
    </w:p>
    <w:p>
      <w:pPr>
        <w:pStyle w:val="Heading1"/>
      </w:pPr>
      <w:r>
        <w:t xml:space="preserve">1. Resumen en 1 minuto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3864" w:sz="12"/>
              <w:bottom w:val="single" w:color="CCCCCC" w:sz="1"/>
              <w:right w:val="single" w:color="CCCCCC" w:sz="1"/>
            </w:tcBorders>
            <w:shd w:fill="F2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Qué hace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Predice cuántas unidades venderá cada uno de los 3.315 productos de CRUZBER en las próximas 12 semanas, para que el comité S&amp;OP tome decisiones de compra y producción con datos.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3864" w:sz="12"/>
              <w:bottom w:val="single" w:color="CCCCCC" w:sz="1"/>
              <w:right w:val="single" w:color="CCCCCC" w:sz="1"/>
            </w:tcBorders>
            <w:shd w:fill="F2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Cómo lo hace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Clasifica cada producto según su patrón de demanda y asigna el método predictivo que mejor funciona para cada tipo: ML avanzado para productos estables, media móvil para esporádicos, y métodos específicos (Croston/SBA) para casos individuales donde aportan valor. Un selector automático elige el método ganador para cada producto.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3864" w:sz="12"/>
              <w:bottom w:val="single" w:color="CCCCCC" w:sz="1"/>
              <w:right w:val="single" w:color="CCCCCC" w:sz="1"/>
            </w:tcBorders>
            <w:shd w:fill="F2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Resultado principal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global del 30.4% (mejora de 4.8 puntos respecto al modelo base). Sesgo reducido a -9.3% (era -20.4%). Los productos estables (7% del catálogo, ~60% de facturación) se predicen con un 17-26% de error, suficiente para automatizar compras. Supera a Excel por 8.4 puntos.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3864" w:sz="12"/>
              <w:bottom w:val="single" w:color="CCCCCC" w:sz="1"/>
              <w:right w:val="single" w:color="CCCCCC" w:sz="1"/>
            </w:tcBorders>
            <w:shd w:fill="F2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Cambio clave respecto al NB29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vez de forzar ML en todo el catálogo, cada producto recibe el método que mejor funciona para su tipo de demanda. Para el 67% del catálogo (Intermittent), un selector automático elige entre ML, media móvil, Croston o SBA según cuál tenga menor error histórico para ese producto específico.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El proceso paso a paso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El sistema sigue 6 fases desde los datos brutos hasta la predicción final:</w:t>
      </w:r>
    </w:p>
    <w:p>
      <w:pPr>
        <w:spacing w:before="100"/>
      </w:pPr>
    </w:p>
    <w:p>
      <w:pPr>
        <w:pStyle w:val="Heading2"/>
      </w:pPr>
      <w:r>
        <w:t xml:space="preserve">Fase 1: Recogida de datos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Se combinan 5 fuentes de información: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Facturas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500.000+ líneas (2021-2024)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ventas reales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Maestros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Catálogo, clientes, familias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Clasificación y atributos del producto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Temperatura, lluvia por provincia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CRUZBER vende más con buen tiempo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Ciclismo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Calendario de carreras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Efecto escaparate en ventas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Festivos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Días laborables por semana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 con puente = menos pedidos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Fase 2: Limpieza y preparación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Excluir 2020 (COVID): </w:t>
      </w:r>
      <w:r>
        <w:rPr>
          <w:rFonts w:ascii="Arial" w:cs="Arial" w:eastAsia="Arial" w:hAnsi="Arial"/>
          <w:sz w:val="22"/>
          <w:szCs w:val="22"/>
        </w:rPr>
        <w:t xml:space="preserve">patrones anómalos que confundirían al modelo.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Separar Fleet: </w:t>
      </w:r>
      <w:r>
        <w:rPr>
          <w:rFonts w:ascii="Arial" w:cs="Arial" w:eastAsia="Arial" w:hAnsi="Arial"/>
          <w:sz w:val="22"/>
          <w:szCs w:val="22"/>
        </w:rPr>
        <w:t xml:space="preserve">licitaciones masivas con patrones impredecibles.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Dense Panel: </w:t>
      </w:r>
      <w:r>
        <w:rPr>
          <w:rFonts w:ascii="Arial" w:cs="Arial" w:eastAsia="Arial" w:hAnsi="Arial"/>
          <w:sz w:val="22"/>
          <w:szCs w:val="22"/>
        </w:rPr>
        <w:t xml:space="preserve">calendario completo (646.000 filas) con ceros explícitos para evitar confundir «la semana pasada» con «la última vez que se vendió».</w:t>
      </w:r>
    </w:p>
    <w:p>
      <w:pPr>
        <w:spacing w:before="100"/>
      </w:pPr>
    </w:p>
    <w:p>
      <w:pPr>
        <w:pStyle w:val="Heading2"/>
      </w:pPr>
      <w:r>
        <w:t xml:space="preserve">Fase 3: 47 indicadores en 6 bloques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le dice al modelo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Calendario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Mes, temporada, días laborables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Tendencias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Ventas recientes, comparativa anual, tendencia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Externos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Temperatura, lluvia, carreras ciclistas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Precio, familia, clasificación ABC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Frecuencia, edad, ciclo de vida, proxy stock-out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Codificaciones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Volumen histórico de la familia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Fase 4: Clasificación del catálogo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3000"/>
        <w:gridCol w:w="34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catálogo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Smooth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Venta frecuente y estable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Cofre de techo que se vende cada semana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Erratic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Venta frecuente pero variable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Portabicicletas con picos en verano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Intermittent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Venta poco frecuente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Repuesto que se pide cada 2-3 meses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Lumpy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Venta rara e impredecible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Pieza especial pedida 1 vez al año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Cómo funciona el modelo</w:t>
      </w:r>
    </w:p>
    <w:p>
      <w:pPr>
        <w:pStyle w:val="Heading2"/>
      </w:pPr>
      <w:r>
        <w:t xml:space="preserve">3.1 Estrategia híbrida: cada producto recibe su mejor método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En vez de usar un único modelo para todo, el sistema asigna a cada producto el método predictivo que mejor funciona para su tipo de demanda: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2600"/>
        <w:gridCol w:w="3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catálogo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Smooth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(CatBoost Tweedie)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ML supera a Excel por +7.4 puntos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Erratic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(CatBoost Tweedie)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ML supera a Excel por +15.3 puntos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Intermittent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Selector automático por SKU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Elige entre ML, baseline, Croston o SBA según cuál tenga menor error para ese producto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Lumpy-dead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 móvil 4 semanas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 señal para ML, media corta más robusta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Lumpy-sparse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(Hurdle suavizado)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Hay señal aprovechable, ML gana +14.8 puntos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3864" w:sz="12"/>
              <w:bottom w:val="single" w:color="CCCCCC" w:sz="1"/>
              <w:right w:val="single" w:color="CCCCCC" w:sz="1"/>
            </w:tcBorders>
            <w:shd w:fill="F2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Selector automático por SKU (Intermittent)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cada uno de los 2.225 productos Intermittent, el sistema evalúa 4 candidatos (ML, media móvil 12 semanas, Croston y SBA) y asigna el que menor error histórico produce. Resultado: 53.7% eligen baseline, 28.6% eligen ML, 9.8% SBA, 8.0% Croston. Esto confirmó que casi un tercio de los productos esporádicos funcionan mejor con ML de lo que se pensaba.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3.2 Loss function asimétrica (Quantile 0.65)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El modelo anterior subpredecía sistemáticamente un 17% porque trataba igual el error de subpredecir (perder una venta) y el de sobrepredecir (tener stock extra). Pero en realidad, perder una venta cuesta 8.5 veces más que tener stock extra (ratio de 8.5:1 entre ventas en riesgo y capital inmovilizado).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La solución: una función de pérdida asimétrica que penaliza más la subpredicción que la sobrepredicción. El modelo ahora «prefiere» pedir ligeramente de más a quedarse corto. Resultado: el sesgo bajó de -16.9% a -9.3%.</w:t>
      </w:r>
    </w:p>
    <w:p>
      <w:pPr>
        <w:spacing w:before="100"/>
      </w:pPr>
    </w:p>
    <w:p>
      <w:pPr>
        <w:pStyle w:val="Heading2"/>
      </w:pPr>
      <w:r>
        <w:t xml:space="preserve">3.3 Garantías de integridad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Anti-filtración temporal: </w:t>
      </w:r>
      <w:r>
        <w:rPr>
          <w:rFonts w:ascii="Arial" w:cs="Arial" w:eastAsia="Arial" w:hAnsi="Arial"/>
          <w:sz w:val="22"/>
          <w:szCs w:val="22"/>
        </w:rPr>
        <w:t xml:space="preserve">Ningún indicador mira datos del futuro.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Codificaciones por partición: </w:t>
      </w:r>
      <w:r>
        <w:rPr>
          <w:rFonts w:ascii="Arial" w:cs="Arial" w:eastAsia="Arial" w:hAnsi="Arial"/>
          <w:sz w:val="22"/>
          <w:szCs w:val="22"/>
        </w:rPr>
        <w:t xml:space="preserve">Los promedios se recalculan en cada ventana temporal.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 de extremos: </w:t>
      </w:r>
      <w:r>
        <w:rPr>
          <w:rFonts w:ascii="Arial" w:cs="Arial" w:eastAsia="Arial" w:hAnsi="Arial"/>
          <w:sz w:val="22"/>
          <w:szCs w:val="22"/>
        </w:rPr>
        <w:t xml:space="preserve">Los pedidos atípicos se recortan usando solo datos históricos.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Parámetros congelados: </w:t>
      </w:r>
      <w:r>
        <w:rPr>
          <w:rFonts w:ascii="Arial" w:cs="Arial" w:eastAsia="Arial" w:hAnsi="Arial"/>
          <w:sz w:val="22"/>
          <w:szCs w:val="22"/>
        </w:rPr>
        <w:t xml:space="preserve">El modelo es 100% reproducible. Cada ejecución produce el mismo resultado.</w:t>
      </w:r>
    </w:p>
    <w:p>
      <w:r>
        <w:br w:type="page"/>
      </w:r>
    </w:p>
    <w:p>
      <w:pPr>
        <w:pStyle w:val="Heading1"/>
      </w:pPr>
      <w:r>
        <w:t xml:space="preserve">4. Resultados</w:t>
      </w:r>
    </w:p>
    <w:p>
      <w:pPr>
        <w:pStyle w:val="Heading2"/>
      </w:pPr>
      <w:r>
        <w:t xml:space="preserve">4.1 Precisión por segmento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300"/>
        <w:gridCol w:w="15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catálogo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Valoración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Smooth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Excelente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Automatizable. Decisiones de compra directas.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Erratic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Bueno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Dentro del estándar industrial B2B.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Intermittent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Mejorado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Selector por SKU: -22pp vs NB29 (56.3%).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Lumpy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57.8%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Esperado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Subsegmentado en dead/sparse.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GLOBAL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30.4%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Competitivo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Supera a Excel por 8.4 puntos.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4.2 Estabilidad temporal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medio semanal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Variabilidad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±2.5% (muy estable)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Mejor semana (S27)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Peor semana (S9)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38.8%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Sesgo medio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-9.3% (subpredice moderadamente)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Semanas con sobrepredicción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de 27 (era 0 de 27 en NB29)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Tasa de rotura media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27.9% de SKUs (era 32.6% en NB29)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4.3 Impacto financiero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0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NB30 v2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Anterior (NB30 v1)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Ventas en riesgo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18.162.006 €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21.620.278 € (-3.5M €)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 inmovilizado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3.017.093 €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2.540.401 € (+0.5M €)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 riesgo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 : 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 : 1 (más equilibrado)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3864" w:sz="12"/>
              <w:bottom w:val="single" w:color="CCCCCC" w:sz="1"/>
              <w:right w:val="single" w:color="CCCCCC" w:sz="1"/>
            </w:tcBorders>
            <w:shd w:fill="F2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Interpretación financiera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modelo ahora «cambia» 0.5M€ de capital inmovilizado extra por 3.5M€ menos en ventas en riesgo. Es un trade-off positivo: cada euro adicional en stock genera 7 euros de ventas protegidas. El ratio 6:1 (vs 8.5:1 anterior) indica un sistema más equilibrado entre servicio al cliente y eficiencia de inventario.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Evolución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200"/>
        <w:gridCol w:w="1200"/>
        <w:gridCol w:w="1200"/>
        <w:gridCol w:w="1200"/>
        <w:gridCol w:w="13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NB30 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NB30 v2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 total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WMAPE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30.4%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-4.8pp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Intermittent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34.1%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-22pp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-20.4%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-17.3%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-16.9%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-9.3%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+11.1pp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0.917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+0.016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Overfitting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+16.2pp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+12.4pp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+13.3pp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+10.2pp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-6.0pp</w:t>
            </w:r>
          </w:p>
        </w:tc>
      </w:tr>
    </w:tbl>
    <w:p>
      <w:pPr>
        <w:spacing w:before="100"/>
      </w:pP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Las mejoras clave de cada iteración: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NB28 (base limpia): </w:t>
      </w:r>
      <w:r>
        <w:rPr>
          <w:rFonts w:ascii="Arial" w:cs="Arial" w:eastAsia="Arial" w:hAnsi="Arial"/>
          <w:sz w:val="22"/>
          <w:szCs w:val="22"/>
        </w:rPr>
        <w:t xml:space="preserve">Detección y corrección de 3 fuentes de contaminación de datos. Arquitectura Hurdle + clasificación Syntetos-Boylan. Primera métrica real: WMAPE 34.4%.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NB29 (mejoras incrementales): </w:t>
      </w:r>
      <w:r>
        <w:rPr>
          <w:rFonts w:ascii="Arial" w:cs="Arial" w:eastAsia="Arial" w:hAnsi="Arial"/>
          <w:sz w:val="22"/>
          <w:szCs w:val="22"/>
        </w:rPr>
        <w:t xml:space="preserve">Hurdle suavizado (sesgo -20% → -17%), proxy de stock-out, comparativa con Excel (+7.7pp), análisis de errores individuales.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NB30 v1 (salto conceptual): </w:t>
      </w:r>
      <w:r>
        <w:rPr>
          <w:rFonts w:ascii="Arial" w:cs="Arial" w:eastAsia="Arial" w:hAnsi="Arial"/>
          <w:sz w:val="22"/>
          <w:szCs w:val="22"/>
        </w:rPr>
        <w:t xml:space="preserve">Dejó de forzar ML donde no aportaba. Intermittent pasó a baseline. Lumpy subsegmentado en dead/sparse. WMAPE 32.4%.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NB30 v2 (optimización final): </w:t>
      </w:r>
      <w:r>
        <w:rPr>
          <w:rFonts w:ascii="Arial" w:cs="Arial" w:eastAsia="Arial" w:hAnsi="Arial"/>
          <w:sz w:val="22"/>
          <w:szCs w:val="22"/>
        </w:rPr>
        <w:t xml:space="preserve">Loss asimétrica (sesgo -17% → -9%), Croston/SBA como candidatos, selector por SKU (WMAPE Intermittent: 46% → 34%). WMAPE final 30.4%.</w:t>
      </w:r>
    </w:p>
    <w:p>
      <w:r>
        <w:br w:type="page"/>
      </w:r>
    </w:p>
    <w:p>
      <w:pPr>
        <w:pStyle w:val="Heading1"/>
      </w:pPr>
      <w:r>
        <w:t xml:space="preserve">6. Limitaciones conocidas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 datos de rotura de stock. </w:t>
      </w:r>
      <w:r>
        <w:rPr>
          <w:rFonts w:ascii="Arial" w:cs="Arial" w:eastAsia="Arial" w:hAnsi="Arial"/>
          <w:sz w:val="22"/>
          <w:szCs w:val="22"/>
        </w:rPr>
        <w:t xml:space="preserve">El ERP no registra cuándo un producto no se vendió porque no había stock. El modelo ha compensado parcialmente con proxy de stock-out y loss asimétrica, pero la solución completa requiere el dato real del ERP.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Sesgo residual (-9.3%). </w:t>
      </w:r>
      <w:r>
        <w:rPr>
          <w:rFonts w:ascii="Arial" w:cs="Arial" w:eastAsia="Arial" w:hAnsi="Arial"/>
          <w:sz w:val="22"/>
          <w:szCs w:val="22"/>
        </w:rPr>
        <w:t xml:space="preserve">Reducido a la mitad respecto al NB28 (-20.4%), pero aún presente. 2 de 27 semanas ya muestran sobrepredicción, indicando que el equilibrio está cerca.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Agregación nacional. </w:t>
      </w:r>
      <w:r>
        <w:rPr>
          <w:rFonts w:ascii="Arial" w:cs="Arial" w:eastAsia="Arial" w:hAnsi="Arial"/>
          <w:sz w:val="22"/>
          <w:szCs w:val="22"/>
        </w:rPr>
        <w:t xml:space="preserve">El modelo predice a nivel España y distribuye por provincia según cuotas históricas. No captura dinámicas locales.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Selector por SKU basado en histórico. </w:t>
      </w:r>
      <w:r>
        <w:rPr>
          <w:rFonts w:ascii="Arial" w:cs="Arial" w:eastAsia="Arial" w:hAnsi="Arial"/>
          <w:sz w:val="22"/>
          <w:szCs w:val="22"/>
        </w:rPr>
        <w:t xml:space="preserve">El método ganador se elige por error pasado. Si el comportamiento de un SKU cambia, el selector necesita re-evaluarse.</w:t>
      </w:r>
    </w:p>
    <w:p>
      <w:pPr>
        <w:pStyle w:val="Heading1"/>
      </w:pPr>
      <w:r>
        <w:t xml:space="preserve">7. Conclusiones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3864" w:sz="12"/>
              <w:bottom w:val="single" w:color="CCCCCC" w:sz="1"/>
              <w:right w:val="single" w:color="CCCCCC" w:sz="1"/>
            </w:tcBorders>
            <w:shd w:fill="F2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Para el comité S&amp;OP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modelo es fiable para los productos que generan el grueso de la facturación (error del 17-26%). Para el 67% del catálogo (productos esporádicos), un selector automático asigna el mejor método a cada producto. El sesgo se ha reducido a la mitad: el modelo ya no es sistemáticamente conservador. La tasa de rotura bajó del 32.6% al 27.9%.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3864" w:sz="12"/>
              <w:bottom w:val="single" w:color="CCCCCC" w:sz="1"/>
              <w:right w:val="single" w:color="CCCCCC" w:sz="1"/>
            </w:tcBorders>
            <w:shd w:fill="F2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Para el CFO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euro adicional invertido en stock por el sesgo menos conservador genera 7 euros de ventas protegidas. Las ventas en riesgo se han reducido en 3.5M€ respecto al modelo anterior. El sistema aporta valor demostrado: +8.4 puntos sobre Excel.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3864" w:sz="12"/>
              <w:bottom w:val="single" w:color="CCCCCC" w:sz="1"/>
              <w:right w:val="single" w:color="CCCCCC" w:sz="1"/>
            </w:tcBorders>
            <w:shd w:fill="F2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Para el CMO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análisis de errores individuales identifica los 50 productos que concentran el 42.7% del error. El 923-052 (Intermittent A) subpredice un 64% — 15.885 unidades reales vs 5.766 predichas. Si ese producto falla en el suministro, hay riesgo de pérdida de clientes. El dashboard permite filtrar por provincia y familia para detectar zonas críticas.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3864" w:sz="12"/>
              <w:bottom w:val="single" w:color="CCCCCC" w:sz="1"/>
              <w:right w:val="single" w:color="CCCCCC" w:sz="1"/>
            </w:tcBorders>
            <w:shd w:fill="F2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Para IT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mejora más impactante que queda pendiente es integrar datos de rotura de stock del ERP. Los parámetros del modelo están congelados: el notebook se puede automatizar como pipeline semanal con ejecución completa sin intervención manual.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8. Próximos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0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esperado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Complejidad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Integrar datos de stock-out del ERP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Sesgo -9% → ~0%, Intermittent -5pp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 (requiere IT)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automatizado semanal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Eliminar ejecución manual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S&amp;OP con filtros universales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Visibilidad en tiempo real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 (Streamlit listo)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Re-evaluación trimestral del selector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Adaptar a cambios de comportamiento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70" w:bottom="144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CRUZBER — Resumen ejecutivo NB30 v2 (Estrategia híbrida)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2026-04-21T16:44:12.885Z</dcterms:created>
  <dcterms:modified xsi:type="dcterms:W3CDTF">2026-04-21T16:44:12.886Z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