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28FBC" w14:textId="77777777" w:rsidR="00C352F7" w:rsidRPr="00E94F33" w:rsidRDefault="00C352F7" w:rsidP="00C352F7">
      <w:pPr>
        <w:rPr>
          <w:rFonts w:cs="Times New Roman"/>
          <w:szCs w:val="24"/>
        </w:rPr>
      </w:pPr>
      <w:proofErr w:type="spellStart"/>
      <w:r w:rsidRPr="00561C48">
        <w:rPr>
          <w:b/>
          <w:bCs/>
          <w:sz w:val="28"/>
          <w:szCs w:val="28"/>
          <w:lang w:val="en-US"/>
        </w:rPr>
        <w:t>Verdox</w:t>
      </w:r>
      <w:proofErr w:type="spellEnd"/>
      <w:r w:rsidRPr="00C352F7">
        <w:br/>
      </w:r>
      <w:r w:rsidRPr="00C352F7">
        <w:br/>
      </w:r>
      <w:proofErr w:type="spellStart"/>
      <w:r w:rsidRPr="00E94F33">
        <w:rPr>
          <w:rFonts w:cs="Times New Roman"/>
          <w:szCs w:val="24"/>
        </w:rPr>
        <w:t>Verdox</w:t>
      </w:r>
      <w:proofErr w:type="spellEnd"/>
      <w:r w:rsidRPr="00E94F33">
        <w:rPr>
          <w:rFonts w:cs="Times New Roman"/>
          <w:szCs w:val="24"/>
        </w:rPr>
        <w:t xml:space="preserve"> – это система электронного документооборота (СЭД), предназначенная для автоматизации работы с документами на всех этапах их жизненного цикла.</w:t>
      </w:r>
    </w:p>
    <w:p w14:paraId="6DD0DF48" w14:textId="77777777" w:rsidR="004647C2" w:rsidRPr="00E94F33" w:rsidRDefault="00C352F7" w:rsidP="00C352F7">
      <w:pPr>
        <w:rPr>
          <w:rFonts w:cs="Times New Roman"/>
          <w:szCs w:val="24"/>
        </w:rPr>
      </w:pPr>
      <w:r w:rsidRPr="00E94F33">
        <w:rPr>
          <w:rFonts w:cs="Times New Roman"/>
          <w:szCs w:val="24"/>
        </w:rPr>
        <w:t xml:space="preserve">Использование системы </w:t>
      </w:r>
      <w:proofErr w:type="spellStart"/>
      <w:r w:rsidRPr="00E94F33">
        <w:rPr>
          <w:rFonts w:cs="Times New Roman"/>
          <w:szCs w:val="24"/>
        </w:rPr>
        <w:t>Verdox</w:t>
      </w:r>
      <w:proofErr w:type="spellEnd"/>
      <w:r w:rsidRPr="00E94F33">
        <w:rPr>
          <w:rFonts w:cs="Times New Roman"/>
          <w:szCs w:val="24"/>
        </w:rPr>
        <w:t xml:space="preserve"> позволяет отказаться от бумажного документооборота и перейти на работу с электронными документами.</w:t>
      </w:r>
    </w:p>
    <w:p w14:paraId="0112D202" w14:textId="77777777" w:rsidR="00C352F7" w:rsidRPr="00E94F33" w:rsidRDefault="00C352F7" w:rsidP="00C352F7">
      <w:pPr>
        <w:pStyle w:val="3"/>
        <w:rPr>
          <w:sz w:val="24"/>
          <w:szCs w:val="24"/>
        </w:rPr>
      </w:pPr>
      <w:r w:rsidRPr="00E94F33">
        <w:rPr>
          <w:sz w:val="24"/>
          <w:szCs w:val="24"/>
        </w:rPr>
        <w:t>Простота использования</w:t>
      </w:r>
    </w:p>
    <w:p w14:paraId="4A0F4C26" w14:textId="77777777" w:rsidR="00C352F7" w:rsidRPr="00E94F33" w:rsidRDefault="00C352F7" w:rsidP="00C352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Times New Roman"/>
          <w:szCs w:val="24"/>
        </w:rPr>
      </w:pPr>
      <w:r w:rsidRPr="00E94F33">
        <w:rPr>
          <w:rFonts w:cs="Times New Roman"/>
          <w:szCs w:val="24"/>
        </w:rPr>
        <w:t>Простой интерфейс</w:t>
      </w:r>
    </w:p>
    <w:p w14:paraId="47E93B33" w14:textId="77777777" w:rsidR="00C352F7" w:rsidRPr="00E94F33" w:rsidRDefault="00C352F7" w:rsidP="00C352F7">
      <w:pPr>
        <w:pStyle w:val="a3"/>
        <w:ind w:left="720"/>
      </w:pPr>
      <w:r w:rsidRPr="00E94F33">
        <w:t xml:space="preserve">Все опции и элементы управления </w:t>
      </w:r>
      <w:proofErr w:type="spellStart"/>
      <w:r w:rsidRPr="00E94F33">
        <w:t>Verdox</w:t>
      </w:r>
      <w:proofErr w:type="spellEnd"/>
      <w:r w:rsidRPr="00E94F33">
        <w:t xml:space="preserve"> названы в соответствии с их назначением. Меню не содержит пиктограмм и аббревиатур, значения которых необходимо запоминать. Интерфейс </w:t>
      </w:r>
      <w:proofErr w:type="spellStart"/>
      <w:r w:rsidRPr="00E94F33">
        <w:t>Verdox</w:t>
      </w:r>
      <w:proofErr w:type="spellEnd"/>
      <w:r w:rsidRPr="00E94F33">
        <w:t xml:space="preserve"> минималистичен, что позволяет тратить на заполнение даже самой сложной формы не более минуты.</w:t>
      </w:r>
    </w:p>
    <w:p w14:paraId="59910052" w14:textId="77777777" w:rsidR="00C352F7" w:rsidRPr="00E94F33" w:rsidRDefault="00C352F7" w:rsidP="00C352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Times New Roman"/>
          <w:szCs w:val="24"/>
        </w:rPr>
      </w:pPr>
      <w:r w:rsidRPr="00E94F33">
        <w:rPr>
          <w:rFonts w:cs="Times New Roman"/>
          <w:szCs w:val="24"/>
        </w:rPr>
        <w:t>Защита от ошибок</w:t>
      </w:r>
    </w:p>
    <w:p w14:paraId="2AC6401A" w14:textId="77777777" w:rsidR="00C352F7" w:rsidRPr="00E94F33" w:rsidRDefault="00C352F7" w:rsidP="00C352F7">
      <w:pPr>
        <w:pStyle w:val="a3"/>
        <w:ind w:left="720"/>
      </w:pPr>
      <w:r w:rsidRPr="00E94F33">
        <w:t xml:space="preserve">Пользователю системы </w:t>
      </w:r>
      <w:proofErr w:type="spellStart"/>
      <w:r w:rsidRPr="00E94F33">
        <w:t>Verdox</w:t>
      </w:r>
      <w:proofErr w:type="spellEnd"/>
      <w:r w:rsidRPr="00E94F33">
        <w:t xml:space="preserve"> всегда доступны только те операции, которые приводят к необходимому результату работы с документом. Работая в системе, практически невозможно допустить ошибку, так как она исключает выбор некорректного действия при движении документа.</w:t>
      </w:r>
    </w:p>
    <w:p w14:paraId="1295F805" w14:textId="77777777" w:rsidR="00C352F7" w:rsidRPr="00E94F33" w:rsidRDefault="00C352F7" w:rsidP="00C352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Times New Roman"/>
          <w:szCs w:val="24"/>
        </w:rPr>
      </w:pPr>
      <w:r w:rsidRPr="00E94F33">
        <w:rPr>
          <w:rFonts w:cs="Times New Roman"/>
          <w:szCs w:val="24"/>
        </w:rPr>
        <w:t>Оптимальный функционал</w:t>
      </w:r>
    </w:p>
    <w:p w14:paraId="1E5891BD" w14:textId="77777777" w:rsidR="00C352F7" w:rsidRPr="00E94F33" w:rsidRDefault="00C352F7" w:rsidP="00C352F7">
      <w:pPr>
        <w:pStyle w:val="a3"/>
        <w:ind w:left="720"/>
      </w:pPr>
      <w:r w:rsidRPr="00E94F33">
        <w:t xml:space="preserve">Каждому пользователю доступны только определенные разделы системы, необходимые ему для работы в соответствии с его должностными обязанностями. </w:t>
      </w:r>
      <w:proofErr w:type="spellStart"/>
      <w:r w:rsidRPr="00E94F33">
        <w:t>Verdox</w:t>
      </w:r>
      <w:proofErr w:type="spellEnd"/>
      <w:r w:rsidRPr="00E94F33">
        <w:t xml:space="preserve"> не содержит избыточного функционала, поэтому работать с ней легко и удобно.</w:t>
      </w:r>
    </w:p>
    <w:p w14:paraId="46DBC2CC" w14:textId="77777777" w:rsidR="00C352F7" w:rsidRPr="00E94F33" w:rsidRDefault="00C352F7" w:rsidP="00C352F7">
      <w:pPr>
        <w:pStyle w:val="a3"/>
        <w:ind w:left="720"/>
      </w:pPr>
      <w:r w:rsidRPr="00E94F33">
        <w:t xml:space="preserve">Для начала работы в системе </w:t>
      </w:r>
      <w:proofErr w:type="spellStart"/>
      <w:r w:rsidRPr="00E94F33">
        <w:t>Verdox</w:t>
      </w:r>
      <w:proofErr w:type="spellEnd"/>
      <w:r w:rsidRPr="00E94F33">
        <w:t xml:space="preserve"> не нужно обладать никакими специальными навыками. Даже пользователи начального уровня смогут приступить к работе без специального обучения. Новичку достаточно прочитать небольшое руководство или посмотреть обучающий видеоролик.</w:t>
      </w:r>
    </w:p>
    <w:p w14:paraId="77CCDC5B" w14:textId="77777777" w:rsidR="00C352F7" w:rsidRPr="00E94F33" w:rsidRDefault="00C352F7" w:rsidP="00C352F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 w:rsidRPr="00E94F33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Легкость внедрения</w:t>
      </w:r>
    </w:p>
    <w:p w14:paraId="092E7D82" w14:textId="77777777" w:rsidR="00C352F7" w:rsidRPr="00E94F33" w:rsidRDefault="00C352F7" w:rsidP="00C352F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E94F33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Установка системы электронного документооборота </w:t>
      </w:r>
      <w:proofErr w:type="spellStart"/>
      <w:r w:rsidRPr="00E94F33">
        <w:rPr>
          <w:rFonts w:eastAsia="Times New Roman" w:cs="Times New Roman"/>
          <w:kern w:val="0"/>
          <w:szCs w:val="24"/>
          <w:lang w:eastAsia="ru-RU"/>
          <w14:ligatures w14:val="none"/>
        </w:rPr>
        <w:t>Verdox</w:t>
      </w:r>
      <w:proofErr w:type="spellEnd"/>
      <w:r w:rsidRPr="00E94F33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не требует специальных навыков или оборудования.</w:t>
      </w:r>
    </w:p>
    <w:p w14:paraId="57918DD0" w14:textId="77777777" w:rsidR="00C352F7" w:rsidRPr="00E94F33" w:rsidRDefault="00C352F7" w:rsidP="00C352F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E94F33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Обычно внедрение </w:t>
      </w:r>
      <w:proofErr w:type="spellStart"/>
      <w:r w:rsidRPr="00E94F33">
        <w:rPr>
          <w:rFonts w:eastAsia="Times New Roman" w:cs="Times New Roman"/>
          <w:kern w:val="0"/>
          <w:szCs w:val="24"/>
          <w:lang w:eastAsia="ru-RU"/>
          <w14:ligatures w14:val="none"/>
        </w:rPr>
        <w:t>cистемы</w:t>
      </w:r>
      <w:proofErr w:type="spellEnd"/>
      <w:r w:rsidRPr="00E94F33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электронного документооборота заключается в конфигурировании, адаптации, установке, настройке и обучению персонала. Эти работы могут продолжаться месяцами, а их стоимость часто превышает стоимость самой программы.</w:t>
      </w:r>
    </w:p>
    <w:p w14:paraId="05FA3723" w14:textId="77777777" w:rsidR="00C352F7" w:rsidRPr="00E94F33" w:rsidRDefault="00C352F7" w:rsidP="00C352F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E94F33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Внедрение </w:t>
      </w:r>
      <w:proofErr w:type="spellStart"/>
      <w:r w:rsidRPr="00E94F33">
        <w:rPr>
          <w:rFonts w:eastAsia="Times New Roman" w:cs="Times New Roman"/>
          <w:kern w:val="0"/>
          <w:szCs w:val="24"/>
          <w:lang w:eastAsia="ru-RU"/>
          <w14:ligatures w14:val="none"/>
        </w:rPr>
        <w:t>Verdox</w:t>
      </w:r>
      <w:proofErr w:type="spellEnd"/>
      <w:r w:rsidRPr="00E94F33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абсолютно бесплатно и занимает минимум времени. Вы сможете подготовить Систему </w:t>
      </w:r>
      <w:proofErr w:type="spellStart"/>
      <w:r w:rsidRPr="00E94F33">
        <w:rPr>
          <w:rFonts w:eastAsia="Times New Roman" w:cs="Times New Roman"/>
          <w:kern w:val="0"/>
          <w:szCs w:val="24"/>
          <w:lang w:eastAsia="ru-RU"/>
          <w14:ligatures w14:val="none"/>
        </w:rPr>
        <w:t>Verdox</w:t>
      </w:r>
      <w:proofErr w:type="spellEnd"/>
      <w:r w:rsidRPr="00E94F33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к использованию самостоятельно, а в случае затруднений Вам помогут наши специалисты.</w:t>
      </w:r>
    </w:p>
    <w:p w14:paraId="6B21F3A2" w14:textId="77777777" w:rsidR="00C352F7" w:rsidRPr="00E94F33" w:rsidRDefault="00C352F7" w:rsidP="00C352F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E94F33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При помощи системы </w:t>
      </w:r>
      <w:proofErr w:type="spellStart"/>
      <w:r w:rsidRPr="00E94F33">
        <w:rPr>
          <w:rFonts w:eastAsia="Times New Roman" w:cs="Times New Roman"/>
          <w:kern w:val="0"/>
          <w:szCs w:val="24"/>
          <w:lang w:eastAsia="ru-RU"/>
          <w14:ligatures w14:val="none"/>
        </w:rPr>
        <w:t>Verdox</w:t>
      </w:r>
      <w:proofErr w:type="spellEnd"/>
      <w:r w:rsidRPr="00E94F33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автоматизировать документооборот предельно просто.</w:t>
      </w:r>
    </w:p>
    <w:p w14:paraId="108C775B" w14:textId="77777777" w:rsidR="00C352F7" w:rsidRPr="00E94F33" w:rsidRDefault="00C352F7" w:rsidP="00C352F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ru-RU"/>
          <w14:ligatures w14:val="none"/>
        </w:rPr>
      </w:pPr>
      <w:proofErr w:type="spellStart"/>
      <w:r w:rsidRPr="00E94F33">
        <w:rPr>
          <w:rFonts w:eastAsia="Times New Roman" w:cs="Times New Roman"/>
          <w:kern w:val="0"/>
          <w:szCs w:val="24"/>
          <w:lang w:eastAsia="ru-RU"/>
          <w14:ligatures w14:val="none"/>
        </w:rPr>
        <w:lastRenderedPageBreak/>
        <w:t>Cистема</w:t>
      </w:r>
      <w:proofErr w:type="spellEnd"/>
      <w:r w:rsidRPr="00E94F33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</w:t>
      </w:r>
      <w:proofErr w:type="spellStart"/>
      <w:r w:rsidRPr="00E94F33">
        <w:rPr>
          <w:rFonts w:eastAsia="Times New Roman" w:cs="Times New Roman"/>
          <w:kern w:val="0"/>
          <w:szCs w:val="24"/>
          <w:lang w:eastAsia="ru-RU"/>
          <w14:ligatures w14:val="none"/>
        </w:rPr>
        <w:t>Verdox</w:t>
      </w:r>
      <w:proofErr w:type="spellEnd"/>
      <w:r w:rsidRPr="00E94F33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не требует установки на каждый компьютер, а доступ к ней осуществляется через стандартный браузер.</w:t>
      </w:r>
    </w:p>
    <w:p w14:paraId="77CB87F1" w14:textId="77777777" w:rsidR="00C352F7" w:rsidRPr="00E94F33" w:rsidRDefault="00C352F7" w:rsidP="00C352F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E94F33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Технические требования Системы также невысоки. Не нужно приобретать специального оборудования или программного обеспечения. Для работы с </w:t>
      </w:r>
      <w:proofErr w:type="spellStart"/>
      <w:r w:rsidRPr="00E94F33">
        <w:rPr>
          <w:rFonts w:eastAsia="Times New Roman" w:cs="Times New Roman"/>
          <w:kern w:val="0"/>
          <w:szCs w:val="24"/>
          <w:lang w:eastAsia="ru-RU"/>
          <w14:ligatures w14:val="none"/>
        </w:rPr>
        <w:t>Verdox</w:t>
      </w:r>
      <w:proofErr w:type="spellEnd"/>
      <w:r w:rsidRPr="00E94F33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достаточно стандартных персональных компьютеров, а для серверной версии обычного сервера средней мощности.</w:t>
      </w:r>
    </w:p>
    <w:p w14:paraId="562B16FE" w14:textId="77777777" w:rsidR="00C352F7" w:rsidRPr="00E94F33" w:rsidRDefault="00C352F7" w:rsidP="00C352F7">
      <w:pPr>
        <w:pStyle w:val="3"/>
        <w:rPr>
          <w:sz w:val="24"/>
          <w:szCs w:val="24"/>
        </w:rPr>
      </w:pPr>
      <w:r w:rsidRPr="00E94F33">
        <w:rPr>
          <w:sz w:val="24"/>
          <w:szCs w:val="24"/>
        </w:rPr>
        <w:t> Возможность модернизации</w:t>
      </w:r>
    </w:p>
    <w:p w14:paraId="4E1E0496" w14:textId="77777777" w:rsidR="00C352F7" w:rsidRPr="00E94F33" w:rsidRDefault="00C352F7" w:rsidP="00C352F7">
      <w:pPr>
        <w:pStyle w:val="a3"/>
      </w:pPr>
      <w:proofErr w:type="spellStart"/>
      <w:r w:rsidRPr="00E94F33">
        <w:t>Verdox</w:t>
      </w:r>
      <w:proofErr w:type="spellEnd"/>
      <w:r w:rsidRPr="00E94F33">
        <w:t xml:space="preserve"> – это удобная система, которая предполагает:</w:t>
      </w:r>
    </w:p>
    <w:p w14:paraId="70A2C10F" w14:textId="77777777" w:rsidR="00C352F7" w:rsidRPr="00E94F33" w:rsidRDefault="00C352F7" w:rsidP="00C352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="Times New Roman"/>
          <w:szCs w:val="24"/>
        </w:rPr>
      </w:pPr>
      <w:r w:rsidRPr="00E94F33">
        <w:rPr>
          <w:rFonts w:cs="Times New Roman"/>
          <w:szCs w:val="24"/>
        </w:rPr>
        <w:t>Возможность расширения функционала</w:t>
      </w:r>
    </w:p>
    <w:p w14:paraId="2ED56319" w14:textId="77777777" w:rsidR="00C352F7" w:rsidRPr="00E94F33" w:rsidRDefault="00C352F7" w:rsidP="00C352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="Times New Roman"/>
          <w:szCs w:val="24"/>
        </w:rPr>
      </w:pPr>
      <w:r w:rsidRPr="00E94F33">
        <w:rPr>
          <w:rFonts w:cs="Times New Roman"/>
          <w:szCs w:val="24"/>
        </w:rPr>
        <w:t>Быстрое выполнение заказа</w:t>
      </w:r>
    </w:p>
    <w:p w14:paraId="4B47794B" w14:textId="77777777" w:rsidR="00C352F7" w:rsidRPr="00E94F33" w:rsidRDefault="00C352F7" w:rsidP="00C352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="Times New Roman"/>
          <w:szCs w:val="24"/>
        </w:rPr>
      </w:pPr>
      <w:r w:rsidRPr="00E94F33">
        <w:rPr>
          <w:rFonts w:cs="Times New Roman"/>
          <w:szCs w:val="24"/>
        </w:rPr>
        <w:t>Минимальный бюджет</w:t>
      </w:r>
    </w:p>
    <w:p w14:paraId="10050977" w14:textId="77777777" w:rsidR="00C352F7" w:rsidRPr="00E94F33" w:rsidRDefault="00C352F7" w:rsidP="00C352F7">
      <w:pPr>
        <w:pStyle w:val="a3"/>
      </w:pPr>
      <w:r w:rsidRPr="00E94F33">
        <w:t xml:space="preserve">Многофункциональность – одно из ключевых конкурентных преимуществ Системы </w:t>
      </w:r>
      <w:proofErr w:type="spellStart"/>
      <w:r w:rsidRPr="00E94F33">
        <w:t>Verdox</w:t>
      </w:r>
      <w:proofErr w:type="spellEnd"/>
      <w:r w:rsidRPr="00E94F33">
        <w:t>. Ее функциональные возможности соответствуют потребностям Вашего бизнеса.</w:t>
      </w:r>
    </w:p>
    <w:p w14:paraId="2C48DE31" w14:textId="77777777" w:rsidR="00C352F7" w:rsidRPr="00E94F33" w:rsidRDefault="00C352F7" w:rsidP="00C352F7">
      <w:pPr>
        <w:pStyle w:val="a3"/>
      </w:pPr>
      <w:r w:rsidRPr="00E94F33">
        <w:t xml:space="preserve">Система не продается по принципу отдельных модулей. Поэтому </w:t>
      </w:r>
      <w:proofErr w:type="spellStart"/>
      <w:r w:rsidRPr="00E94F33">
        <w:t>Verdox</w:t>
      </w:r>
      <w:proofErr w:type="spellEnd"/>
      <w:r w:rsidRPr="00E94F33">
        <w:t xml:space="preserve"> позволяет не собирать конструктор из десятков компонентов, не разбираться в архитектуре системы и не докупать необходимые функции и привлекать экспертов для ее установки. Система </w:t>
      </w:r>
      <w:proofErr w:type="spellStart"/>
      <w:r w:rsidRPr="00E94F33">
        <w:t>Verdox</w:t>
      </w:r>
      <w:proofErr w:type="spellEnd"/>
      <w:r w:rsidRPr="00E94F33">
        <w:t xml:space="preserve"> предусматривает расширение действующего функционала. </w:t>
      </w:r>
    </w:p>
    <w:p w14:paraId="0280CDFA" w14:textId="77777777" w:rsidR="00C352F7" w:rsidRPr="00E94F33" w:rsidRDefault="00C352F7" w:rsidP="00C352F7">
      <w:pPr>
        <w:pStyle w:val="a3"/>
      </w:pPr>
      <w:r w:rsidRPr="00E94F33">
        <w:t xml:space="preserve">В сравнении с аналогичными системами </w:t>
      </w:r>
      <w:proofErr w:type="spellStart"/>
      <w:r w:rsidRPr="00E94F33">
        <w:t>Verdox</w:t>
      </w:r>
      <w:proofErr w:type="spellEnd"/>
      <w:r w:rsidRPr="00E94F33">
        <w:t xml:space="preserve"> имеет возможность добавления опций. Нет необходимости заказывать другую систему.</w:t>
      </w:r>
    </w:p>
    <w:p w14:paraId="226AB0EF" w14:textId="77777777" w:rsidR="00C352F7" w:rsidRPr="00E94F33" w:rsidRDefault="00C352F7" w:rsidP="00C352F7">
      <w:pPr>
        <w:spacing w:after="0" w:line="240" w:lineRule="auto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E94F33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Система </w:t>
      </w:r>
      <w:proofErr w:type="spellStart"/>
      <w:r w:rsidRPr="00E94F33">
        <w:rPr>
          <w:rFonts w:eastAsia="Times New Roman" w:cs="Times New Roman"/>
          <w:kern w:val="0"/>
          <w:szCs w:val="24"/>
          <w:lang w:eastAsia="ru-RU"/>
          <w14:ligatures w14:val="none"/>
        </w:rPr>
        <w:t>Verdox</w:t>
      </w:r>
      <w:proofErr w:type="spellEnd"/>
      <w:r w:rsidRPr="00E94F33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содержит всё необходимое для эффективного решения задач практически любой организации от небольшого предприятия до холдинга. Система </w:t>
      </w:r>
      <w:proofErr w:type="spellStart"/>
      <w:r w:rsidRPr="00E94F33">
        <w:rPr>
          <w:rFonts w:eastAsia="Times New Roman" w:cs="Times New Roman"/>
          <w:kern w:val="0"/>
          <w:szCs w:val="24"/>
          <w:lang w:eastAsia="ru-RU"/>
          <w14:ligatures w14:val="none"/>
        </w:rPr>
        <w:t>Verdox</w:t>
      </w:r>
      <w:proofErr w:type="spellEnd"/>
      <w:r w:rsidRPr="00E94F33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содержит готовый набор модулей, каждый из которых ориентирован на определенную группу бизнес-процессов: </w:t>
      </w:r>
    </w:p>
    <w:p w14:paraId="721294BE" w14:textId="77777777" w:rsidR="00C352F7" w:rsidRPr="00E94F33" w:rsidRDefault="00C352F7" w:rsidP="00C352F7">
      <w:pPr>
        <w:numPr>
          <w:ilvl w:val="0"/>
          <w:numId w:val="3"/>
        </w:numPr>
        <w:spacing w:before="100" w:beforeAutospacing="1" w:after="100" w:afterAutospacing="1" w:line="240" w:lineRule="auto"/>
        <w:ind w:left="300"/>
        <w:rPr>
          <w:rFonts w:eastAsia="Times New Roman" w:cs="Times New Roman"/>
          <w:color w:val="333333"/>
          <w:kern w:val="0"/>
          <w:szCs w:val="24"/>
          <w:lang w:eastAsia="ru-RU"/>
          <w14:ligatures w14:val="none"/>
        </w:rPr>
      </w:pPr>
      <w:r w:rsidRPr="00E94F33">
        <w:rPr>
          <w:rFonts w:eastAsia="Times New Roman" w:cs="Times New Roman"/>
          <w:color w:val="333333"/>
          <w:kern w:val="0"/>
          <w:szCs w:val="24"/>
          <w:lang w:eastAsia="ru-RU"/>
          <w14:ligatures w14:val="none"/>
        </w:rPr>
        <w:t>Электронный архив документов</w:t>
      </w:r>
    </w:p>
    <w:p w14:paraId="4DE13EA6" w14:textId="77777777" w:rsidR="00C352F7" w:rsidRPr="00E94F33" w:rsidRDefault="00C352F7" w:rsidP="00C352F7">
      <w:pPr>
        <w:numPr>
          <w:ilvl w:val="0"/>
          <w:numId w:val="3"/>
        </w:numPr>
        <w:spacing w:before="100" w:beforeAutospacing="1" w:after="100" w:afterAutospacing="1" w:line="240" w:lineRule="auto"/>
        <w:ind w:left="300"/>
        <w:rPr>
          <w:rFonts w:eastAsia="Times New Roman" w:cs="Times New Roman"/>
          <w:color w:val="333333"/>
          <w:kern w:val="0"/>
          <w:szCs w:val="24"/>
          <w:lang w:eastAsia="ru-RU"/>
          <w14:ligatures w14:val="none"/>
        </w:rPr>
      </w:pPr>
      <w:r w:rsidRPr="00E94F33">
        <w:rPr>
          <w:rFonts w:eastAsia="Times New Roman" w:cs="Times New Roman"/>
          <w:color w:val="333333"/>
          <w:kern w:val="0"/>
          <w:szCs w:val="24"/>
          <w:lang w:eastAsia="ru-RU"/>
          <w14:ligatures w14:val="none"/>
        </w:rPr>
        <w:t>Согласование договоров</w:t>
      </w:r>
    </w:p>
    <w:p w14:paraId="552D496F" w14:textId="77777777" w:rsidR="00C352F7" w:rsidRPr="00E94F33" w:rsidRDefault="00C352F7" w:rsidP="00C352F7">
      <w:pPr>
        <w:numPr>
          <w:ilvl w:val="0"/>
          <w:numId w:val="3"/>
        </w:numPr>
        <w:spacing w:before="100" w:beforeAutospacing="1" w:after="100" w:afterAutospacing="1" w:line="240" w:lineRule="auto"/>
        <w:ind w:left="300"/>
        <w:rPr>
          <w:rFonts w:eastAsia="Times New Roman" w:cs="Times New Roman"/>
          <w:color w:val="333333"/>
          <w:kern w:val="0"/>
          <w:szCs w:val="24"/>
          <w:lang w:eastAsia="ru-RU"/>
          <w14:ligatures w14:val="none"/>
        </w:rPr>
      </w:pPr>
      <w:r w:rsidRPr="00E94F33">
        <w:rPr>
          <w:rFonts w:eastAsia="Times New Roman" w:cs="Times New Roman"/>
          <w:color w:val="333333"/>
          <w:kern w:val="0"/>
          <w:szCs w:val="24"/>
          <w:lang w:eastAsia="ru-RU"/>
          <w14:ligatures w14:val="none"/>
        </w:rPr>
        <w:t>Входящая и исходящая корреспонденция</w:t>
      </w:r>
    </w:p>
    <w:p w14:paraId="45670D14" w14:textId="77777777" w:rsidR="00C352F7" w:rsidRPr="00E94F33" w:rsidRDefault="00C352F7" w:rsidP="00C352F7">
      <w:pPr>
        <w:numPr>
          <w:ilvl w:val="0"/>
          <w:numId w:val="3"/>
        </w:numPr>
        <w:spacing w:before="100" w:beforeAutospacing="1" w:after="100" w:afterAutospacing="1" w:line="240" w:lineRule="auto"/>
        <w:ind w:left="300"/>
        <w:rPr>
          <w:rFonts w:eastAsia="Times New Roman" w:cs="Times New Roman"/>
          <w:color w:val="333333"/>
          <w:kern w:val="0"/>
          <w:szCs w:val="24"/>
          <w:lang w:eastAsia="ru-RU"/>
          <w14:ligatures w14:val="none"/>
        </w:rPr>
      </w:pPr>
      <w:r w:rsidRPr="00E94F33">
        <w:rPr>
          <w:rFonts w:eastAsia="Times New Roman" w:cs="Times New Roman"/>
          <w:color w:val="333333"/>
          <w:kern w:val="0"/>
          <w:szCs w:val="24"/>
          <w:lang w:eastAsia="ru-RU"/>
          <w14:ligatures w14:val="none"/>
        </w:rPr>
        <w:t>Внутренние документы</w:t>
      </w:r>
    </w:p>
    <w:p w14:paraId="1D6D855F" w14:textId="77777777" w:rsidR="00C352F7" w:rsidRPr="00E94F33" w:rsidRDefault="00C352F7" w:rsidP="00C352F7">
      <w:pPr>
        <w:numPr>
          <w:ilvl w:val="0"/>
          <w:numId w:val="3"/>
        </w:numPr>
        <w:spacing w:before="100" w:beforeAutospacing="1" w:after="100" w:afterAutospacing="1" w:line="240" w:lineRule="auto"/>
        <w:ind w:left="300"/>
        <w:rPr>
          <w:rFonts w:eastAsia="Times New Roman" w:cs="Times New Roman"/>
          <w:color w:val="333333"/>
          <w:kern w:val="0"/>
          <w:szCs w:val="24"/>
          <w:lang w:eastAsia="ru-RU"/>
          <w14:ligatures w14:val="none"/>
        </w:rPr>
      </w:pPr>
      <w:r w:rsidRPr="00E94F33">
        <w:rPr>
          <w:rFonts w:eastAsia="Times New Roman" w:cs="Times New Roman"/>
          <w:color w:val="333333"/>
          <w:kern w:val="0"/>
          <w:szCs w:val="24"/>
          <w:lang w:eastAsia="ru-RU"/>
          <w14:ligatures w14:val="none"/>
        </w:rPr>
        <w:t>Контроль исполнения поручений</w:t>
      </w:r>
    </w:p>
    <w:p w14:paraId="0DA23D78" w14:textId="77777777" w:rsidR="00C352F7" w:rsidRPr="00E94F33" w:rsidRDefault="00C352F7" w:rsidP="00C352F7">
      <w:pPr>
        <w:numPr>
          <w:ilvl w:val="0"/>
          <w:numId w:val="3"/>
        </w:numPr>
        <w:spacing w:before="100" w:beforeAutospacing="1" w:after="100" w:afterAutospacing="1" w:line="240" w:lineRule="auto"/>
        <w:ind w:left="300"/>
        <w:rPr>
          <w:rFonts w:eastAsia="Times New Roman" w:cs="Times New Roman"/>
          <w:color w:val="333333"/>
          <w:kern w:val="0"/>
          <w:szCs w:val="24"/>
          <w:lang w:eastAsia="ru-RU"/>
          <w14:ligatures w14:val="none"/>
        </w:rPr>
      </w:pPr>
      <w:r w:rsidRPr="00E94F33">
        <w:rPr>
          <w:rFonts w:eastAsia="Times New Roman" w:cs="Times New Roman"/>
          <w:color w:val="333333"/>
          <w:kern w:val="0"/>
          <w:szCs w:val="24"/>
          <w:lang w:eastAsia="ru-RU"/>
          <w14:ligatures w14:val="none"/>
        </w:rPr>
        <w:t>Протоколы совещаний</w:t>
      </w:r>
    </w:p>
    <w:p w14:paraId="241CE1AA" w14:textId="77777777" w:rsidR="00C352F7" w:rsidRPr="00E94F33" w:rsidRDefault="00C352F7" w:rsidP="00C352F7">
      <w:pPr>
        <w:numPr>
          <w:ilvl w:val="0"/>
          <w:numId w:val="3"/>
        </w:numPr>
        <w:spacing w:before="100" w:beforeAutospacing="1" w:after="100" w:afterAutospacing="1" w:line="240" w:lineRule="auto"/>
        <w:ind w:left="300"/>
        <w:rPr>
          <w:rFonts w:eastAsia="Times New Roman" w:cs="Times New Roman"/>
          <w:color w:val="333333"/>
          <w:kern w:val="0"/>
          <w:szCs w:val="24"/>
          <w:lang w:eastAsia="ru-RU"/>
          <w14:ligatures w14:val="none"/>
        </w:rPr>
      </w:pPr>
      <w:r w:rsidRPr="00E94F33">
        <w:rPr>
          <w:rFonts w:eastAsia="Times New Roman" w:cs="Times New Roman"/>
          <w:color w:val="333333"/>
          <w:kern w:val="0"/>
          <w:szCs w:val="24"/>
          <w:lang w:eastAsia="ru-RU"/>
          <w14:ligatures w14:val="none"/>
        </w:rPr>
        <w:t>Локально-нормативные документы</w:t>
      </w:r>
    </w:p>
    <w:p w14:paraId="0309EBA9" w14:textId="77777777" w:rsidR="00C352F7" w:rsidRPr="00E94F33" w:rsidRDefault="00C352F7" w:rsidP="00C352F7">
      <w:pPr>
        <w:numPr>
          <w:ilvl w:val="0"/>
          <w:numId w:val="3"/>
        </w:numPr>
        <w:spacing w:before="100" w:beforeAutospacing="1" w:after="100" w:afterAutospacing="1" w:line="240" w:lineRule="auto"/>
        <w:ind w:left="300"/>
        <w:rPr>
          <w:rFonts w:eastAsia="Times New Roman" w:cs="Times New Roman"/>
          <w:color w:val="333333"/>
          <w:kern w:val="0"/>
          <w:szCs w:val="24"/>
          <w:lang w:eastAsia="ru-RU"/>
          <w14:ligatures w14:val="none"/>
        </w:rPr>
      </w:pPr>
      <w:r w:rsidRPr="00E94F33">
        <w:rPr>
          <w:rFonts w:eastAsia="Times New Roman" w:cs="Times New Roman"/>
          <w:color w:val="333333"/>
          <w:kern w:val="0"/>
          <w:szCs w:val="24"/>
          <w:lang w:eastAsia="ru-RU"/>
          <w14:ligatures w14:val="none"/>
        </w:rPr>
        <w:t>Приказы и распоряжения</w:t>
      </w:r>
    </w:p>
    <w:p w14:paraId="2EA26F03" w14:textId="77777777" w:rsidR="00C352F7" w:rsidRPr="00E94F33" w:rsidRDefault="00C352F7" w:rsidP="00C352F7">
      <w:pPr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E94F33">
        <w:rPr>
          <w:rFonts w:eastAsia="Times New Roman" w:cs="Times New Roman"/>
          <w:kern w:val="0"/>
          <w:szCs w:val="24"/>
          <w:lang w:eastAsia="ru-RU"/>
          <w14:ligatures w14:val="none"/>
        </w:rPr>
        <w:t>При этом каждый модуль может быть, как включен, так и отключен, таким образом каждый клиент самостоятельно определяет, какие функции использовать.</w:t>
      </w:r>
    </w:p>
    <w:p w14:paraId="28899DE9" w14:textId="77777777" w:rsidR="00C352F7" w:rsidRPr="00E94F33" w:rsidRDefault="00C352F7" w:rsidP="00C352F7">
      <w:pPr>
        <w:pStyle w:val="2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ru-RU"/>
          <w14:ligatures w14:val="none"/>
        </w:rPr>
      </w:pPr>
      <w:r w:rsidRPr="00E94F33">
        <w:rPr>
          <w:rFonts w:ascii="Times New Roman" w:hAnsi="Times New Roman" w:cs="Times New Roman"/>
          <w:color w:val="auto"/>
          <w:sz w:val="24"/>
          <w:szCs w:val="24"/>
        </w:rPr>
        <w:t>1</w:t>
      </w:r>
      <w:r w:rsidRPr="00E94F3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ru-RU"/>
          <w14:ligatures w14:val="none"/>
        </w:rPr>
        <w:t xml:space="preserve">. </w:t>
      </w:r>
      <w:proofErr w:type="spellStart"/>
      <w:r w:rsidRPr="00E94F3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ru-RU"/>
          <w14:ligatures w14:val="none"/>
        </w:rPr>
        <w:t>Cоздание</w:t>
      </w:r>
      <w:proofErr w:type="spellEnd"/>
      <w:r w:rsidRPr="00E94F3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ru-RU"/>
          <w14:ligatures w14:val="none"/>
        </w:rPr>
        <w:t xml:space="preserve"> договора</w:t>
      </w:r>
    </w:p>
    <w:p w14:paraId="427BB9A1" w14:textId="77777777" w:rsidR="00C352F7" w:rsidRPr="00E94F33" w:rsidRDefault="00C352F7" w:rsidP="00C352F7">
      <w:pPr>
        <w:pStyle w:val="a3"/>
      </w:pPr>
      <w:r w:rsidRPr="00E94F33">
        <w:t>Ответственный сотрудник заполняет необходимые поля на форме создания договора и сохраняет проект договора.</w:t>
      </w:r>
    </w:p>
    <w:p w14:paraId="1F8D21FE" w14:textId="77777777" w:rsidR="00C352F7" w:rsidRPr="00E94F33" w:rsidRDefault="00C352F7" w:rsidP="00C352F7">
      <w:pPr>
        <w:pStyle w:val="a3"/>
      </w:pPr>
      <w:r w:rsidRPr="00E94F33">
        <w:t>Форма создания дополнительного соглашения выглядит аналогичным образом.</w:t>
      </w:r>
    </w:p>
    <w:p w14:paraId="045DD236" w14:textId="77777777" w:rsidR="00C352F7" w:rsidRPr="00E94F33" w:rsidRDefault="00C352F7" w:rsidP="00C352F7">
      <w:pPr>
        <w:pStyle w:val="2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ru-RU"/>
          <w14:ligatures w14:val="none"/>
        </w:rPr>
      </w:pPr>
      <w:r w:rsidRPr="00E94F3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ru-RU"/>
          <w14:ligatures w14:val="none"/>
        </w:rPr>
        <w:lastRenderedPageBreak/>
        <w:t>2. Добавление файлов</w:t>
      </w:r>
    </w:p>
    <w:p w14:paraId="1E56194B" w14:textId="77777777" w:rsidR="00C352F7" w:rsidRPr="00E94F33" w:rsidRDefault="00C352F7" w:rsidP="00C352F7">
      <w:pPr>
        <w:pStyle w:val="a3"/>
      </w:pPr>
      <w:r w:rsidRPr="00E94F33">
        <w:t>К договору можно приложить один или несколько файлов, а также сгруппировать файлы по каталогам.</w:t>
      </w:r>
    </w:p>
    <w:p w14:paraId="68150425" w14:textId="77777777" w:rsidR="00C352F7" w:rsidRPr="00C352F7" w:rsidRDefault="00C352F7" w:rsidP="00C352F7"/>
    <w:sectPr w:rsidR="00C352F7" w:rsidRPr="00C35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5DCFF" w14:textId="77777777" w:rsidR="00B71734" w:rsidRDefault="00B71734" w:rsidP="00561C48">
      <w:pPr>
        <w:spacing w:after="0" w:line="240" w:lineRule="auto"/>
      </w:pPr>
      <w:r>
        <w:separator/>
      </w:r>
    </w:p>
  </w:endnote>
  <w:endnote w:type="continuationSeparator" w:id="0">
    <w:p w14:paraId="0E31FB44" w14:textId="77777777" w:rsidR="00B71734" w:rsidRDefault="00B71734" w:rsidP="00561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93BB2" w14:textId="77777777" w:rsidR="00B71734" w:rsidRDefault="00B71734" w:rsidP="00561C48">
      <w:pPr>
        <w:spacing w:after="0" w:line="240" w:lineRule="auto"/>
      </w:pPr>
      <w:r>
        <w:separator/>
      </w:r>
    </w:p>
  </w:footnote>
  <w:footnote w:type="continuationSeparator" w:id="0">
    <w:p w14:paraId="29610BA9" w14:textId="77777777" w:rsidR="00B71734" w:rsidRDefault="00B71734" w:rsidP="00561C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E35CF"/>
    <w:multiLevelType w:val="multilevel"/>
    <w:tmpl w:val="2DDA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B41A7"/>
    <w:multiLevelType w:val="multilevel"/>
    <w:tmpl w:val="C2D4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47235F"/>
    <w:multiLevelType w:val="multilevel"/>
    <w:tmpl w:val="37B6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F7"/>
    <w:rsid w:val="004647C2"/>
    <w:rsid w:val="00561C48"/>
    <w:rsid w:val="005F478E"/>
    <w:rsid w:val="006104CD"/>
    <w:rsid w:val="00B71734"/>
    <w:rsid w:val="00C352F7"/>
    <w:rsid w:val="00E9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FF06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4CD"/>
    <w:rPr>
      <w:rFonts w:ascii="Times New Roman" w:hAnsi="Times New Roman"/>
      <w:kern w:val="2"/>
      <w:sz w:val="24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5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352F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352F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C352F7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customStyle="1" w:styleId="bold-text">
    <w:name w:val="bold-text"/>
    <w:basedOn w:val="a0"/>
    <w:rsid w:val="00C352F7"/>
  </w:style>
  <w:style w:type="character" w:customStyle="1" w:styleId="20">
    <w:name w:val="Заголовок 2 Знак"/>
    <w:basedOn w:val="a0"/>
    <w:link w:val="2"/>
    <w:uiPriority w:val="9"/>
    <w:semiHidden/>
    <w:rsid w:val="00C352F7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paragraph" w:styleId="a4">
    <w:name w:val="header"/>
    <w:basedOn w:val="a"/>
    <w:link w:val="a5"/>
    <w:uiPriority w:val="99"/>
    <w:unhideWhenUsed/>
    <w:rsid w:val="00561C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1C48"/>
    <w:rPr>
      <w:rFonts w:ascii="Times New Roman" w:hAnsi="Times New Roman"/>
      <w:kern w:val="2"/>
      <w:sz w:val="24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561C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1C48"/>
    <w:rPr>
      <w:rFonts w:ascii="Times New Roman" w:hAnsi="Times New Roman"/>
      <w:kern w:val="2"/>
      <w:sz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7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4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2024-12-16T20:28:00Z</dcterms:created>
  <dcterms:modified xsi:type="dcterms:W3CDTF">2024-12-16T20:28:00Z</dcterms:modified>
</cp:coreProperties>
</file>