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7.png" ContentType="image/png"/>
  <Override PartName="/word/media/image11.png" ContentType="image/png"/>
  <Override PartName="/word/media/image8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</w:rPr>
      </w:pPr>
      <w:r>
        <w:rPr>
          <w:b/>
          <w:bCs/>
        </w:rPr>
        <w:t>ФЕДЕРАЛЬНОЕ АГЕНТСТВО ЖЕЛЕЗНОДОРОЖНОГО ТРАНСПОРТА</w:t>
      </w:r>
    </w:p>
    <w:p>
      <w:pPr>
        <w:pStyle w:val="Normal"/>
        <w:widowControl w:val="false"/>
        <w:suppressAutoHyphens w:val="true"/>
        <w:jc w:val="center"/>
        <w:textAlignment w:val="baseline"/>
        <w:rPr>
          <w:rFonts w:eastAsia="SimSun"/>
          <w:kern w:val="2"/>
          <w:lang w:eastAsia="en-US"/>
        </w:rPr>
      </w:pPr>
      <w:r>
        <w:rPr>
          <w:rFonts w:eastAsia="SimSun"/>
          <w:kern w:val="2"/>
          <w:lang w:eastAsia="en-US"/>
        </w:rPr>
        <w:t>Федеральное государственное бюджетное образовательное учреждение</w:t>
      </w:r>
    </w:p>
    <w:p>
      <w:pPr>
        <w:pStyle w:val="Normal"/>
        <w:widowControl w:val="false"/>
        <w:suppressAutoHyphens w:val="true"/>
        <w:jc w:val="center"/>
        <w:textAlignment w:val="baseline"/>
        <w:rPr>
          <w:rFonts w:ascii="Calibri" w:hAnsi="Calibri" w:eastAsia="SimSun"/>
          <w:kern w:val="2"/>
          <w:lang w:eastAsia="en-US"/>
        </w:rPr>
      </w:pPr>
      <w:r>
        <w:rPr>
          <w:rFonts w:eastAsia="SimSun"/>
          <w:kern w:val="2"/>
          <w:lang w:eastAsia="en-US"/>
        </w:rPr>
        <w:t>высшего образования</w:t>
      </w:r>
    </w:p>
    <w:p>
      <w:pPr>
        <w:pStyle w:val="Normal"/>
        <w:jc w:val="center"/>
        <w:rPr>
          <w:b/>
          <w:bCs/>
          <w:kern w:val="2"/>
          <w:lang w:eastAsia="en-US"/>
        </w:rPr>
      </w:pPr>
      <w:r>
        <w:rPr>
          <w:b/>
          <w:bCs/>
          <w:kern w:val="2"/>
          <w:lang w:eastAsia="en-US"/>
        </w:rPr>
        <w:t>«Петербургский государственный университет путей сообщения</w:t>
      </w:r>
    </w:p>
    <w:p>
      <w:pPr>
        <w:pStyle w:val="Normal"/>
        <w:jc w:val="center"/>
        <w:rPr>
          <w:b/>
          <w:bCs/>
          <w:kern w:val="2"/>
          <w:lang w:eastAsia="en-US"/>
        </w:rPr>
      </w:pPr>
      <w:r>
        <w:rPr>
          <w:b/>
          <w:bCs/>
          <w:kern w:val="2"/>
          <w:lang w:eastAsia="en-US"/>
        </w:rPr>
        <w:t xml:space="preserve">Императора Александра </w:t>
      </w:r>
      <w:r>
        <w:rPr>
          <w:b/>
          <w:bCs/>
          <w:kern w:val="2"/>
          <w:lang w:val="en-US" w:eastAsia="en-US"/>
        </w:rPr>
        <w:t>I</w:t>
      </w:r>
      <w:r>
        <w:rPr>
          <w:b/>
          <w:bCs/>
          <w:kern w:val="2"/>
          <w:lang w:eastAsia="en-US"/>
        </w:rPr>
        <w:t>»</w:t>
      </w:r>
    </w:p>
    <w:p>
      <w:pPr>
        <w:pStyle w:val="Normal"/>
        <w:pBdr>
          <w:bottom w:val="single" w:sz="12" w:space="0" w:color="000000"/>
        </w:pBdr>
        <w:jc w:val="center"/>
        <w:rPr>
          <w:b/>
          <w:bCs/>
          <w:kern w:val="2"/>
          <w:lang w:eastAsia="en-US"/>
        </w:rPr>
      </w:pPr>
      <w:r>
        <w:rPr>
          <w:b/>
          <w:bCs/>
          <w:kern w:val="2"/>
          <w:lang w:eastAsia="en-US"/>
        </w:rPr>
        <w:t xml:space="preserve"> </w:t>
      </w:r>
      <w:r>
        <w:rPr>
          <w:b/>
          <w:bCs/>
          <w:kern w:val="2"/>
          <w:lang w:eastAsia="en-US"/>
        </w:rPr>
        <w:t>(ФГБОУ ВО ПГУПС)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jc w:val="center"/>
        <w:rPr>
          <w:bCs/>
        </w:rPr>
      </w:pPr>
      <w:r>
        <w:rPr>
          <w:bCs/>
        </w:rPr>
      </w:r>
    </w:p>
    <w:p>
      <w:pPr>
        <w:pStyle w:val="Normal"/>
        <w:spacing w:before="0" w:after="120"/>
        <w:jc w:val="center"/>
        <w:rPr>
          <w:bCs/>
        </w:rPr>
      </w:pPr>
      <w:r>
        <w:rPr>
          <w:bCs/>
        </w:rPr>
        <w:t>Факультет «Автоматизация и интеллектуальные технологии»</w:t>
      </w:r>
    </w:p>
    <w:p>
      <w:pPr>
        <w:pStyle w:val="Normal"/>
        <w:jc w:val="center"/>
        <w:rPr>
          <w:bCs/>
          <w:sz w:val="28"/>
          <w:szCs w:val="28"/>
        </w:rPr>
      </w:pPr>
      <w:r>
        <w:rPr>
          <w:bCs/>
        </w:rPr>
        <w:t>Кафедра</w:t>
      </w:r>
      <w:r>
        <w:rPr/>
        <w:t xml:space="preserve"> «</w:t>
      </w:r>
      <w:r>
        <w:rPr>
          <w:bCs/>
        </w:rPr>
        <w:t>Информатика и информационная безопасность»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28"/>
          <w:szCs w:val="32"/>
        </w:rPr>
      </w:pPr>
      <w:r>
        <w:rPr>
          <w:sz w:val="28"/>
          <w:szCs w:val="32"/>
        </w:rPr>
        <w:t>Лабораторная работа № 2</w:t>
      </w:r>
    </w:p>
    <w:p>
      <w:pPr>
        <w:pStyle w:val="Normal"/>
        <w:jc w:val="center"/>
        <w:rPr>
          <w:sz w:val="28"/>
          <w:szCs w:val="32"/>
        </w:rPr>
      </w:pPr>
      <w:r>
        <w:rPr>
          <w:sz w:val="28"/>
          <w:szCs w:val="32"/>
        </w:rPr>
        <w:t>по дисциплине</w:t>
      </w:r>
    </w:p>
    <w:p>
      <w:pPr>
        <w:pStyle w:val="Normal"/>
        <w:jc w:val="center"/>
        <w:rPr>
          <w:sz w:val="28"/>
          <w:szCs w:val="32"/>
        </w:rPr>
      </w:pPr>
      <w:r>
        <w:rPr>
          <w:sz w:val="28"/>
          <w:szCs w:val="32"/>
        </w:rPr>
        <w:t>«Защита электронного технологического документооборота»</w:t>
      </w:r>
    </w:p>
    <w:p>
      <w:pPr>
        <w:pStyle w:val="Normal"/>
        <w:jc w:val="center"/>
        <w:rPr>
          <w:sz w:val="28"/>
          <w:szCs w:val="32"/>
        </w:rPr>
      </w:pPr>
      <w:r>
        <w:rPr>
          <w:sz w:val="28"/>
          <w:szCs w:val="32"/>
        </w:rPr>
      </w:r>
    </w:p>
    <w:p>
      <w:pPr>
        <w:pStyle w:val="Normal"/>
        <w:jc w:val="center"/>
        <w:rPr>
          <w:sz w:val="28"/>
          <w:szCs w:val="32"/>
        </w:rPr>
      </w:pPr>
      <w:r>
        <w:rPr>
          <w:sz w:val="28"/>
          <w:szCs w:val="28"/>
        </w:rPr>
        <w:t>«</w:t>
      </w:r>
      <w:r>
        <w:rPr>
          <w:sz w:val="28"/>
          <w:szCs w:val="32"/>
        </w:rPr>
        <w:t>Создание центра сертификации (удостоверяющего центра)</w:t>
      </w:r>
      <w:r>
        <w:rPr>
          <w:sz w:val="28"/>
          <w:szCs w:val="28"/>
        </w:rPr>
        <w:t>»</w:t>
      </w:r>
    </w:p>
    <w:p>
      <w:pPr>
        <w:pStyle w:val="Normal"/>
        <w:rPr>
          <w:sz w:val="28"/>
          <w:szCs w:val="32"/>
        </w:rPr>
      </w:pPr>
      <w:r>
        <w:rPr>
          <w:sz w:val="28"/>
          <w:szCs w:val="32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pPr w:vertAnchor="page" w:horzAnchor="margin" w:leftFromText="181" w:rightFromText="181" w:tblpX="0" w:tblpY="10426"/>
        <w:tblOverlap w:val="never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 w:noHBand="0" w:noVBand="0" w:firstColumn="1" w:lastRow="0" w:lastColumn="0" w:firstRow="1"/>
      </w:tblPr>
      <w:tblGrid>
        <w:gridCol w:w="3287"/>
        <w:gridCol w:w="2660"/>
        <w:gridCol w:w="3408"/>
      </w:tblGrid>
      <w:tr>
        <w:trPr/>
        <w:tc>
          <w:tcPr>
            <w:tcW w:w="3287" w:type="dxa"/>
            <w:tcBorders/>
          </w:tcPr>
          <w:p>
            <w:pPr>
              <w:pStyle w:val="Normal"/>
              <w:spacing w:lineRule="auto" w:line="276"/>
              <w:rPr>
                <w:b/>
              </w:rPr>
            </w:pPr>
            <w:r>
              <w:rPr>
                <w:b/>
              </w:rPr>
              <w:t>Выполнил обучающийся</w:t>
            </w:r>
          </w:p>
          <w:p>
            <w:pPr>
              <w:pStyle w:val="Normal"/>
              <w:spacing w:lineRule="auto" w:line="276"/>
              <w:rPr/>
            </w:pPr>
            <w:r>
              <w:rPr/>
              <w:t>Курс 5</w:t>
            </w:r>
          </w:p>
          <w:p>
            <w:pPr>
              <w:pStyle w:val="Normal"/>
              <w:rPr>
                <w:sz w:val="28"/>
                <w:szCs w:val="32"/>
              </w:rPr>
            </w:pPr>
            <w:r>
              <w:rPr/>
              <w:t>Группа КИБ-</w:t>
            </w:r>
            <w:r>
              <w:rPr/>
              <w:t>0</w:t>
            </w:r>
            <w:r>
              <w:rPr/>
              <w:t>12</w:t>
            </w:r>
          </w:p>
          <w:p>
            <w:pPr>
              <w:pStyle w:val="Normal"/>
              <w:spacing w:lineRule="auto" w:line="276"/>
              <w:rPr>
                <w:b/>
                <w:bCs/>
                <w:sz w:val="28"/>
                <w:szCs w:val="28"/>
                <w:vertAlign w:val="superscript"/>
              </w:rPr>
            </w:pPr>
            <w:r>
              <w:rPr>
                <w:b/>
                <w:bCs/>
                <w:sz w:val="28"/>
                <w:szCs w:val="28"/>
                <w:vertAlign w:val="superscript"/>
              </w:rPr>
            </w:r>
          </w:p>
          <w:p>
            <w:pPr>
              <w:pStyle w:val="Normal"/>
              <w:spacing w:lineRule="auto" w:line="276"/>
              <w:jc w:val="center"/>
              <w:rPr>
                <w:b/>
                <w:bCs/>
                <w:sz w:val="28"/>
                <w:szCs w:val="28"/>
                <w:vertAlign w:val="superscript"/>
              </w:rPr>
            </w:pPr>
            <w:r>
              <w:rPr>
                <w:b/>
                <w:bCs/>
                <w:sz w:val="28"/>
                <w:szCs w:val="28"/>
                <w:vertAlign w:val="superscript"/>
              </w:rPr>
            </w:r>
          </w:p>
        </w:tc>
        <w:tc>
          <w:tcPr>
            <w:tcW w:w="2660" w:type="dxa"/>
            <w:tcBorders/>
            <w:vAlign w:val="bottom"/>
          </w:tcPr>
          <w:p>
            <w:pPr>
              <w:pStyle w:val="Normal"/>
              <w:spacing w:lineRule="auto" w:line="276"/>
              <w:jc w:val="center"/>
              <w:rPr>
                <w:iCs/>
              </w:rPr>
            </w:pPr>
            <w:r>
              <w:rPr>
                <w:iCs/>
              </w:rPr>
              <w:t>__________________</w:t>
            </w:r>
          </w:p>
          <w:p>
            <w:pPr>
              <w:pStyle w:val="Normal"/>
              <w:spacing w:lineRule="auto" w:line="276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iCs/>
                <w:sz w:val="16"/>
              </w:rPr>
              <w:t>подпись, дата</w:t>
            </w:r>
          </w:p>
        </w:tc>
        <w:tc>
          <w:tcPr>
            <w:tcW w:w="3408" w:type="dxa"/>
            <w:tcBorders/>
            <w:vAlign w:val="center"/>
          </w:tcPr>
          <w:p>
            <w:pPr>
              <w:pStyle w:val="Normal"/>
              <w:spacing w:lineRule="auto" w:line="276"/>
              <w:jc w:val="right"/>
              <w:rPr>
                <w:iCs/>
              </w:rPr>
            </w:pPr>
            <w:r>
              <w:rPr>
                <w:iCs/>
              </w:rPr>
              <w:t>Г.</w:t>
            </w:r>
            <w:r>
              <w:rPr>
                <w:iCs/>
              </w:rPr>
              <w:t>Е. Груздев</w:t>
            </w:r>
          </w:p>
        </w:tc>
      </w:tr>
      <w:tr>
        <w:trPr/>
        <w:tc>
          <w:tcPr>
            <w:tcW w:w="3287" w:type="dxa"/>
            <w:tcBorders/>
          </w:tcPr>
          <w:p>
            <w:pPr>
              <w:pStyle w:val="Normal"/>
              <w:spacing w:lineRule="auto" w:line="276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2660" w:type="dxa"/>
            <w:tcBorders/>
            <w:vAlign w:val="bottom"/>
          </w:tcPr>
          <w:p>
            <w:pPr>
              <w:pStyle w:val="Normal"/>
              <w:spacing w:lineRule="auto" w:line="276"/>
              <w:jc w:val="center"/>
              <w:rPr>
                <w:iCs/>
              </w:rPr>
            </w:pPr>
            <w:r>
              <w:rPr>
                <w:iCs/>
              </w:rPr>
            </w:r>
          </w:p>
        </w:tc>
        <w:tc>
          <w:tcPr>
            <w:tcW w:w="3408" w:type="dxa"/>
            <w:tcBorders/>
            <w:vAlign w:val="center"/>
          </w:tcPr>
          <w:p>
            <w:pPr>
              <w:pStyle w:val="Normal"/>
              <w:spacing w:lineRule="auto" w:line="276"/>
              <w:rPr>
                <w:iCs/>
              </w:rPr>
            </w:pPr>
            <w:r>
              <w:rPr>
                <w:iCs/>
              </w:rPr>
            </w:r>
          </w:p>
        </w:tc>
      </w:tr>
      <w:tr>
        <w:trPr>
          <w:trHeight w:val="499" w:hRule="atLeast"/>
        </w:trPr>
        <w:tc>
          <w:tcPr>
            <w:tcW w:w="3287" w:type="dxa"/>
            <w:tcBorders/>
          </w:tcPr>
          <w:p>
            <w:pPr>
              <w:pStyle w:val="Normal"/>
              <w:spacing w:lineRule="auto" w:line="276"/>
              <w:rPr>
                <w:b/>
              </w:rPr>
            </w:pPr>
            <w:r>
              <w:rPr>
                <w:b/>
              </w:rPr>
              <w:t>Проверил</w:t>
            </w:r>
          </w:p>
          <w:p>
            <w:pPr>
              <w:pStyle w:val="Normal"/>
              <w:spacing w:lineRule="auto" w:line="276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</w:r>
          </w:p>
        </w:tc>
        <w:tc>
          <w:tcPr>
            <w:tcW w:w="2660" w:type="dxa"/>
            <w:tcBorders/>
            <w:vAlign w:val="bottom"/>
          </w:tcPr>
          <w:p>
            <w:pPr>
              <w:pStyle w:val="Normal"/>
              <w:spacing w:lineRule="auto" w:line="276"/>
              <w:jc w:val="center"/>
              <w:rPr>
                <w:iCs/>
              </w:rPr>
            </w:pPr>
            <w:r>
              <w:rPr>
                <w:iCs/>
              </w:rPr>
              <w:t>__________________</w:t>
            </w:r>
          </w:p>
          <w:p>
            <w:pPr>
              <w:pStyle w:val="Normal"/>
              <w:spacing w:lineRule="auto" w:line="276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iCs/>
                <w:sz w:val="16"/>
              </w:rPr>
              <w:t>подпись, дата</w:t>
            </w:r>
          </w:p>
        </w:tc>
        <w:tc>
          <w:tcPr>
            <w:tcW w:w="3408" w:type="dxa"/>
            <w:tcBorders/>
            <w:vAlign w:val="center"/>
          </w:tcPr>
          <w:p>
            <w:pPr>
              <w:pStyle w:val="Normal"/>
              <w:spacing w:lineRule="auto" w:line="276"/>
              <w:jc w:val="right"/>
              <w:rPr>
                <w:bCs/>
              </w:rPr>
            </w:pPr>
            <w:r>
              <w:rPr>
                <w:bCs/>
              </w:rPr>
              <w:t>М.Ф. Соломатова</w:t>
            </w:r>
          </w:p>
          <w:p>
            <w:pPr>
              <w:pStyle w:val="Normal"/>
              <w:spacing w:lineRule="auto" w:line="276"/>
              <w:rPr>
                <w:bCs/>
              </w:rPr>
            </w:pPr>
            <w:r>
              <w:rPr>
                <w:bCs/>
              </w:rPr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>
      <w:pPr>
        <w:pStyle w:val="Normal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202</w:t>
      </w:r>
      <w:r>
        <w:rPr>
          <w:sz w:val="28"/>
          <w:szCs w:val="28"/>
          <w:lang w:val="en-US"/>
        </w:rPr>
        <w:t>4</w:t>
      </w:r>
    </w:p>
    <w:p>
      <w:pPr>
        <w:pStyle w:val="Normal"/>
        <w:ind w:firstLine="709"/>
        <w:rPr>
          <w:b/>
          <w:sz w:val="32"/>
          <w:szCs w:val="28"/>
        </w:rPr>
      </w:pPr>
      <w:r>
        <w:rPr>
          <w:b/>
          <w:sz w:val="32"/>
          <w:szCs w:val="28"/>
        </w:rPr>
        <w:t xml:space="preserve">Цель работы </w:t>
      </w:r>
    </w:p>
    <w:p>
      <w:pPr>
        <w:pStyle w:val="Normal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Изучение возможностей центра сертификации.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rPr>
          <w:b/>
          <w:sz w:val="32"/>
          <w:szCs w:val="28"/>
        </w:rPr>
      </w:pPr>
      <w:r>
        <w:rPr>
          <w:b/>
          <w:sz w:val="32"/>
          <w:szCs w:val="28"/>
        </w:rPr>
        <w:t>Ход работы</w:t>
      </w:r>
    </w:p>
    <w:p>
      <w:pPr>
        <w:pStyle w:val="Normal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lineRule="auto" w:line="360"/>
        <w:ind w:firstLine="709" w:left="0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Изучить функции и архитектуру центра сертификации (ЦС).</w:t>
      </w:r>
    </w:p>
    <w:p>
      <w:pPr>
        <w:pStyle w:val="Normal"/>
        <w:spacing w:lineRule="auto" w:line="360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Установить на компьютер виртуальную машину с серверной операционной системой.</w:t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53025" cy="208597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1.1 – Установленная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>
        <w:rPr>
          <w:sz w:val="28"/>
          <w:szCs w:val="28"/>
        </w:rPr>
        <w:t xml:space="preserve"> 2019 на виртуальной машине.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lineRule="auto" w:line="360"/>
        <w:ind w:firstLine="709" w:left="0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Добавить серверу роль </w:t>
      </w:r>
      <w:r>
        <w:rPr>
          <w:rFonts w:eastAsia="Calibri"/>
          <w:sz w:val="28"/>
          <w:szCs w:val="28"/>
          <w:lang w:val="en-US"/>
        </w:rPr>
        <w:t>Active</w:t>
      </w:r>
      <w:r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  <w:lang w:val="en-US"/>
        </w:rPr>
        <w:t>Directory</w:t>
      </w:r>
      <w:r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  <w:lang w:val="en-US"/>
        </w:rPr>
        <w:t>Certificate</w:t>
      </w:r>
      <w:r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  <w:lang w:val="en-US"/>
        </w:rPr>
        <w:t>Services</w:t>
      </w:r>
      <w:r>
        <w:rPr>
          <w:rFonts w:eastAsia="Calibri"/>
          <w:sz w:val="28"/>
          <w:szCs w:val="28"/>
        </w:rPr>
        <w:t xml:space="preserve"> с помощью оснастки Server Manager, которую можно запустить из раздела Administrative Tools в стартовом меню. В Server Manager раскрыть список ролей и выбрать добавление роли (Add Roles). В списке доступных ролей выбрать Active Directory Certificate Services.</w:t>
      </w:r>
    </w:p>
    <w:p>
      <w:pPr>
        <w:pStyle w:val="Normal"/>
        <w:spacing w:lineRule="auto" w:line="360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На рисунке 2.1 показан процесс добавления роли: </w:t>
      </w:r>
    </w:p>
    <w:p>
      <w:pPr>
        <w:pStyle w:val="Normal"/>
        <w:tabs>
          <w:tab w:val="clear" w:pos="708"/>
          <w:tab w:val="left" w:pos="0" w:leader="none"/>
        </w:tabs>
        <w:spacing w:lineRule="auto" w:line="360"/>
        <w:jc w:val="center"/>
        <w:rPr>
          <w:rFonts w:eastAsia="Calibri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-78105</wp:posOffset>
            </wp:positionH>
            <wp:positionV relativeFrom="paragraph">
              <wp:posOffset>-64770</wp:posOffset>
            </wp:positionV>
            <wp:extent cx="5940425" cy="441261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12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0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 2.1. – </w:t>
      </w:r>
      <w:r>
        <w:rPr>
          <w:rFonts w:eastAsia="Calibri"/>
          <w:sz w:val="28"/>
          <w:szCs w:val="28"/>
        </w:rPr>
        <w:t>Процесс добавления роли</w:t>
      </w:r>
    </w:p>
    <w:p>
      <w:pPr>
        <w:pStyle w:val="Normal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lineRule="auto" w:line="360"/>
        <w:ind w:firstLine="709" w:left="0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Определить тип центра сертификации как корпоративный (Enterprise). Тип Certification Authority Enterprise может быть установлен только на сервер, являющийся членом домена, т.к. для его работы требуется служба каталога Active Directory. </w:t>
      </w:r>
      <w:r>
        <w:rPr>
          <w:rFonts w:eastAsia="Calibri"/>
          <w:sz w:val="28"/>
          <w:szCs w:val="28"/>
        </w:rPr>
        <w:t xml:space="preserve">Так что сначала устнаовим Active Directory Domain Service. </w:t>
      </w:r>
      <w:r>
        <w:rPr>
          <w:rFonts w:eastAsia="Calibri"/>
          <w:sz w:val="28"/>
          <w:szCs w:val="28"/>
        </w:rPr>
        <w:t>Certification Authority Standalone может работать вне домена, например, обрабатывая запросы пользователей, полученные через web-интерфейс. Определить иерархический тип ЦС – корневой (Root) или подчиненный (Subordinate). Создаваемый ЦС является первым и единственным, поэтому для него определен тип Root.</w:t>
      </w:r>
    </w:p>
    <w:p>
      <w:pPr>
        <w:pStyle w:val="Normal"/>
        <w:jc w:val="center"/>
        <w:rPr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97155</wp:posOffset>
            </wp:positionH>
            <wp:positionV relativeFrom="paragraph">
              <wp:posOffset>-95885</wp:posOffset>
            </wp:positionV>
            <wp:extent cx="5940425" cy="441261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12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3.1 – </w:t>
      </w:r>
      <w:r>
        <w:rPr>
          <w:rFonts w:eastAsia="Calibri"/>
          <w:sz w:val="28"/>
          <w:szCs w:val="28"/>
        </w:rPr>
        <w:t>Определение варианта установки центра сертификации.</w:t>
      </w:r>
    </w:p>
    <w:p>
      <w:pPr>
        <w:pStyle w:val="Normal"/>
        <w:spacing w:lineRule="auto" w:line="36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lineRule="auto" w:line="360"/>
        <w:ind w:firstLine="709" w:left="0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Настройка ключей шифрования. Создаваемый центр сертификации должен будет использовать при работе как минимум одну ключевую пару - открытый и секретный ключ (иначе он не сможет подписывать выпускаемые сертификаты). Поэтому необходимо определить, нужно ли создать новый секретный ключ или будет использоваться уже существующий (тогда надо будет указать, какой ключ использовать). В лабораторной работе надо создать новый ключ, для чего. требуется выбрать "криптографический провайдер" (программный модуль, реализующий криптоалгоритмы) и алгоритм хеширования. Предлагается использовать настройки по умолчанию. Необходимо также указать имя ЦС, размещение базы сертификатов и лог-файлов.</w:t>
      </w:r>
    </w:p>
    <w:p>
      <w:pPr>
        <w:pStyle w:val="Normal"/>
        <w:ind w:firstLine="709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184150</wp:posOffset>
            </wp:positionH>
            <wp:positionV relativeFrom="paragraph">
              <wp:posOffset>-182245</wp:posOffset>
            </wp:positionV>
            <wp:extent cx="5940425" cy="4412615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12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ind w:firstLine="709"/>
        <w:jc w:val="center"/>
        <w:rPr>
          <w:rFonts w:eastAsia="Calibri"/>
          <w:sz w:val="28"/>
          <w:szCs w:val="28"/>
        </w:rPr>
      </w:pPr>
      <w:r>
        <w:rPr>
          <w:sz w:val="28"/>
          <w:szCs w:val="28"/>
        </w:rPr>
        <w:t xml:space="preserve">Рис. 4.1 – </w:t>
      </w:r>
      <w:r>
        <w:rPr>
          <w:rFonts w:eastAsia="Calibri"/>
          <w:sz w:val="28"/>
          <w:szCs w:val="28"/>
        </w:rPr>
        <w:t>Настройка способа шифрования</w:t>
      </w:r>
    </w:p>
    <w:p>
      <w:pPr>
        <w:pStyle w:val="Normal"/>
        <w:ind w:firstLine="709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ind w:firstLine="709" w:left="0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Управление центром сертификации</w:t>
      </w:r>
    </w:p>
    <w:p>
      <w:pPr>
        <w:pStyle w:val="Normal"/>
        <w:spacing w:lineRule="auto" w:line="360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Управлять работой ЦC можно из оснастки Certification Authority, которая должна появиться в разделе Administrative Tools. Просмотреть сделанные настройки в свойствах данного сервера (пункт Properties контекстного меню).</w:t>
      </w:r>
    </w:p>
    <w:p>
      <w:pPr>
        <w:pStyle w:val="Normal"/>
        <w:spacing w:lineRule="auto" w:line="360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На закладке Policy Module (пункт Properties) проверить текущую настройку, определяющую порядок выдачи сертификатов. </w:t>
      </w:r>
      <w:r>
        <w:rPr>
          <w:rFonts w:eastAsia="Calibri"/>
          <w:sz w:val="28"/>
          <w:szCs w:val="28"/>
        </w:rPr>
        <w:t>(Set the certificate  request status to pending. The administrator must explicitly issue the certificate. / Follow the settings in the certificate template, if applicable. Otherwise, automatically issue the certificate.)</w:t>
      </w:r>
      <w:r>
        <w:rPr>
          <w:rFonts w:eastAsia="Calibri"/>
          <w:sz w:val="28"/>
          <w:szCs w:val="28"/>
        </w:rPr>
        <w:t xml:space="preserve"> Описать, какие шаблоны сертификатов (Certificate Templates) определены и для каких целей служит каждый тип сертификатов. Посмотреть, какие сертификаты выпущены (Issued Certificates), есть ли отозванные сертификаты (Revoked Certificates).</w:t>
      </w:r>
    </w:p>
    <w:p>
      <w:pPr>
        <w:pStyle w:val="Normal"/>
        <w:spacing w:lineRule="auto" w:line="360"/>
        <w:ind w:hanging="0"/>
        <w:jc w:val="both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412615"/>
            <wp:effectExtent l="0" t="0" r="0" b="0"/>
            <wp:wrapSquare wrapText="largest"/>
            <wp:docPr id="5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12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firstLine="709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Рис. 5.1 — Шаблоны сертификатов</w:t>
      </w:r>
    </w:p>
    <w:p>
      <w:pPr>
        <w:pStyle w:val="Normal"/>
        <w:spacing w:lineRule="auto" w:line="360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Выполнить процесс получения цифрового сертификата с помощью оснастки Certificates, в разделе сертификатов пользователя (Personal). Из перечня предложенных шаблонов сертификатов выберать User. Данный тип сертификатов может использоваться для шифрования файлов с помощью EFS, защиты электронной почты и аутентификации пользователей. Для пользователя будет сгенерирована ключевая пара, и на основе данных, взятых из базы службы Active Directory и шаблона, будет выпущен сертификат, удостоверяющий открытый ключ. Этот сертификат будет виден и в оснастке Certification Authority, в списке выпущенных данным сервером.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412615"/>
            <wp:effectExtent l="0" t="0" r="0" b="0"/>
            <wp:wrapSquare wrapText="largest"/>
            <wp:docPr id="6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12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firstLine="709" w:left="0"/>
        <w:jc w:val="center"/>
        <w:rPr>
          <w:sz w:val="28"/>
          <w:szCs w:val="28"/>
        </w:rPr>
      </w:pPr>
      <w:r>
        <w:rPr>
          <w:sz w:val="28"/>
          <w:szCs w:val="28"/>
        </w:rPr>
        <w:t>Рис. 5.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– Запрос сертификата</w:t>
      </w:r>
    </w:p>
    <w:p>
      <w:pPr>
        <w:pStyle w:val="Normal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rFonts w:eastAsia="Calibri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039235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709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Рисунок 5.</w:t>
      </w:r>
      <w:r>
        <w:rPr>
          <w:rFonts w:eastAsia="Calibri"/>
          <w:sz w:val="28"/>
          <w:szCs w:val="28"/>
        </w:rPr>
        <w:t>3</w:t>
      </w:r>
      <w:r>
        <w:rPr>
          <w:rFonts w:eastAsia="Calibri"/>
          <w:sz w:val="28"/>
          <w:szCs w:val="28"/>
        </w:rPr>
        <w:t xml:space="preserve"> – Просмотр списка сертификатов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ind w:firstLine="709" w:left="0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Изучить состав сертификата, его назначение.</w:t>
      </w:r>
    </w:p>
    <w:p>
      <w:pPr>
        <w:pStyle w:val="Normal"/>
        <w:ind w:firstLine="851"/>
        <w:jc w:val="center"/>
        <w:rPr>
          <w:rFonts w:eastAsia="Calibri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63240" cy="3987165"/>
            <wp:effectExtent l="0" t="0" r="0" b="0"/>
            <wp:wrapTopAndBottom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Рис.6.1 – Состав сертификата </w:t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93720" cy="4027170"/>
            <wp:effectExtent l="0" t="0" r="0" b="0"/>
            <wp:wrapTopAndBottom/>
            <wp:docPr id="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Рис.6.2 – Состав сертификата</w:t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24150" cy="3545840"/>
            <wp:effectExtent l="0" t="0" r="0" b="0"/>
            <wp:wrapTopAndBottom/>
            <wp:docPr id="10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Рис.6.3 — Назначение сертификата</w:t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lineRule="auto" w:line="360"/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>Выполнить экспорт сертификата (в оснастке Certificates выделить сертификат и в контекстном меню выберать All Tasks —&gt; Export). Экспортировать можно только сертификат или сертификат вместе с секретным ключом (private key). Второй вариант надо использовать аккуратно, чтобы не раскрыть случайно секретный ключ шифрования. Такой тип экспорта нужен, если необходимо сохранить резервную копию ключевой пары и сертификата.</w:t>
      </w:r>
    </w:p>
    <w:p>
      <w:pPr>
        <w:pStyle w:val="ListParagraph"/>
        <w:spacing w:lineRule="auto" w:line="360"/>
        <w:ind w:left="0"/>
        <w:jc w:val="center"/>
        <w:rPr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1150620</wp:posOffset>
            </wp:positionH>
            <wp:positionV relativeFrom="paragraph">
              <wp:posOffset>-93980</wp:posOffset>
            </wp:positionV>
            <wp:extent cx="3639185" cy="3392170"/>
            <wp:effectExtent l="0" t="0" r="0" b="0"/>
            <wp:wrapTopAndBottom/>
            <wp:docPr id="11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185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Рис.7.1 – Успешный экспорт сертификата</w:t>
      </w:r>
    </w:p>
    <w:p>
      <w:pPr>
        <w:pStyle w:val="ListParagraph"/>
        <w:spacing w:lineRule="auto" w:line="360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30dfb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c76de4"/>
    <w:pPr>
      <w:spacing w:before="0" w:after="0"/>
      <w:ind w:left="72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LibreOffice/24.2.5.2$Linux_X86_64 LibreOffice_project/420$Build-2</Application>
  <AppVersion>15.0000</AppVersion>
  <Pages>10</Pages>
  <Words>588</Words>
  <Characters>4271</Characters>
  <CharactersWithSpaces>4819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2023-11-24T06:32:00Z</dcterms:created>
  <dc:creator>Пользователь Windows</dc:creator>
  <dc:description/>
  <dc:language>en-US</dc:language>
  <cp:lastModifiedBy/>
  <dcterms:modified xsi:type="dcterms:W3CDTF">2024-10-18T14:00:50Z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