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ФЕДЕРАЛЬНОЕ АГЕНТСТВО ЖЕЛЕЗНОДОРОЖНОГО ТРАНСПОРТА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«Петербургский государственный университет путей сообщения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Императора Александра I»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(ФГБОУ ВО ПГУПС)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Факультет «Автоматизация и интеллектуальные технологии»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Кафедра «Информатика и информационная безопасность»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№ 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«Защита электронного технологического документооборота»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«Реализация электронной подписи на основе открытого коллективного ключа»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105" w:type="dxa"/>
        <w:jc w:val="left"/>
        <w:tblInd w:w="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645"/>
        <w:gridCol w:w="2948"/>
        <w:gridCol w:w="2512"/>
      </w:tblGrid>
      <w:tr>
        <w:trPr>
          <w:trHeight w:val="1405" w:hRule="atLeast"/>
        </w:trPr>
        <w:tc>
          <w:tcPr>
            <w:tcW w:w="3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Выполнил обучающийся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Курс 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Группа КИБ-012</w:t>
            </w:r>
          </w:p>
          <w:p>
            <w:pPr>
              <w:pStyle w:val="Normal"/>
              <w:spacing w:lineRule="atLeast" w:line="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4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__________________</w:t>
            </w:r>
          </w:p>
          <w:p>
            <w:pPr>
              <w:pStyle w:val="Normal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подпись, дата</w:t>
            </w:r>
          </w:p>
        </w:tc>
        <w:tc>
          <w:tcPr>
            <w:tcW w:w="2512" w:type="dxa"/>
            <w:tcBorders/>
            <w:vAlign w:val="center"/>
          </w:tcPr>
          <w:p>
            <w:pPr>
              <w:pStyle w:val="Normal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Я. И. Геласимов</w:t>
            </w:r>
          </w:p>
        </w:tc>
      </w:tr>
      <w:tr>
        <w:trPr/>
        <w:tc>
          <w:tcPr>
            <w:tcW w:w="3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"/>
                <w:szCs w:val="24"/>
                <w:lang w:eastAsia="ru-RU"/>
              </w:rPr>
            </w:r>
          </w:p>
        </w:tc>
        <w:tc>
          <w:tcPr>
            <w:tcW w:w="294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"/>
                <w:szCs w:val="24"/>
                <w:lang w:eastAsia="ru-RU"/>
              </w:rPr>
            </w:r>
          </w:p>
        </w:tc>
        <w:tc>
          <w:tcPr>
            <w:tcW w:w="25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"/>
                <w:szCs w:val="24"/>
                <w:lang w:eastAsia="ru-RU"/>
              </w:rPr>
            </w:r>
          </w:p>
        </w:tc>
      </w:tr>
      <w:tr>
        <w:trPr>
          <w:trHeight w:val="523" w:hRule="atLeast"/>
        </w:trPr>
        <w:tc>
          <w:tcPr>
            <w:tcW w:w="3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Проверил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4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подпись, дата</w:t>
            </w:r>
          </w:p>
        </w:tc>
        <w:tc>
          <w:tcPr>
            <w:tcW w:w="25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М.Ф. Соломатова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Санкт-Петербург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160"/>
        <w:jc w:val="both"/>
        <w:rPr/>
      </w:pPr>
      <w:r>
        <w:rPr>
          <w:b/>
          <w:bCs/>
          <w:color w:val="000000"/>
          <w:sz w:val="28"/>
          <w:szCs w:val="28"/>
        </w:rPr>
        <w:t>Цель выполнения лабораторной работы: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Изучение возможности применения механизмов электронной подписи для технологического электронного документооборота.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Web"/>
        <w:spacing w:beforeAutospacing="0" w:before="0" w:afterAutospacing="0" w:after="160"/>
        <w:jc w:val="both"/>
        <w:rPr/>
      </w:pPr>
      <w:r>
        <w:rPr>
          <w:b/>
          <w:bCs/>
          <w:color w:val="000000"/>
          <w:sz w:val="28"/>
          <w:szCs w:val="28"/>
        </w:rPr>
        <w:t>Порядок выполнения лабораторной работы: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Изучить стандартные алгоритмы создания электронной подписи на основе открытого коллективного ключа (ГОСТ Р 34.10-94, ГОСТ Р 34.10-2001, ГОСТ Р 34.10-2012, RSA, схема Шнорра).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Разработать алгоритм формирования и проверки электронной подписи на основе открытого коллективного ключа (ЭП ОКК), который в общем виде состоит из трёх этапов: формирования ЭП ОКК на основе генерации индивидуальных параметров подписи и применения функции, отображающих их в коллективный параметр подписи; собственно, создание ЭП ОКК и отправка её вместе с электронным документом соответствующим пользователям АСУ предприятия; проверка ЭП ОКК с использованием открытого коллективного ключа.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На основе одного из указанных стандартов разработать схему формирования и проверки ЭП ОКК, соответствующую обобщенному методу ЭП ОКК.</w:t>
      </w:r>
    </w:p>
    <w:p>
      <w:pPr>
        <w:pStyle w:val="NormalWeb"/>
        <w:spacing w:beforeAutospacing="0" w:before="0" w:afterAutospacing="0" w:after="160"/>
        <w:ind w:firstLine="709"/>
        <w:jc w:val="both"/>
        <w:rPr>
          <w:color w:val="000000"/>
        </w:rPr>
      </w:pPr>
      <w:r>
        <w:rPr>
          <w:color w:val="000000"/>
        </w:rPr>
        <w:t>Реализовать разработанную схему на языке программирования С++ (С#) и протестировать полученный код.</w:t>
      </w:r>
    </w:p>
    <w:p>
      <w:pPr>
        <w:pStyle w:val="NormalWeb"/>
        <w:spacing w:beforeAutospacing="0" w:before="0" w:afterAutospacing="0" w:after="160"/>
        <w:ind w:firstLine="709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Web"/>
        <w:spacing w:beforeAutospacing="0" w:before="0" w:afterAutospacing="0" w:after="160"/>
        <w:jc w:val="both"/>
        <w:rPr/>
      </w:pPr>
      <w:r>
        <w:rPr>
          <w:b/>
          <w:bCs/>
          <w:color w:val="000000"/>
          <w:sz w:val="28"/>
          <w:szCs w:val="28"/>
        </w:rPr>
        <w:t>Выполнение лабораторной работы: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В качестве криптографического протокола был выбран RSA 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Ассиметричный алгоритм криптографии RSA, датой возникновения концепции которого считается 1976 год сейчас очень активно используется для обмена данными, верификацией источника программного обеспечения и в других сферах, где необходимо обмениваться данными или верифицировать отправителя. Кроме того, он является базовой частью HTTPS протокола, использование которого в России достигло 98% по данным Яндекс.Радара.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RSA это алгоритм с открытым ключом, основывающийся на вычислительной сложности задачи факторизации больших полупростых чисел.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RSA-ключи генерируются следующим образом: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1) выбираются два различных случайных простых числа p и q заданного размера (например, 1024 бита каждое);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2) вычисляется их произведение </w:t>
      </w:r>
    </w:p>
    <w:p>
      <w:pPr>
        <w:pStyle w:val="NormalWeb"/>
        <w:spacing w:beforeAutospacing="0" w:before="0" w:afterAutospacing="0" w:after="160"/>
        <w:ind w:left="-851"/>
        <w:jc w:val="center"/>
        <w:rPr/>
      </w:pPr>
      <w:r>
        <w:rPr>
          <w:rFonts w:ascii="Cambria Math" w:hAnsi="Cambria Math"/>
          <w:color w:val="000000"/>
        </w:rPr>
        <w:t>n = pq</w:t>
      </w:r>
      <w:r>
        <w:rPr>
          <w:color w:val="000000"/>
        </w:rPr>
        <w:t>, которое называется модулем;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3) вычисляется значение функции Эйлера от числа </w:t>
      </w:r>
    </w:p>
    <w:p>
      <w:pPr>
        <w:pStyle w:val="NormalWeb"/>
        <w:spacing w:beforeAutospacing="0" w:before="0" w:afterAutospacing="0" w:after="160"/>
        <w:jc w:val="center"/>
        <w:rPr/>
      </w:pPr>
      <w:r>
        <w:rPr>
          <w:rFonts w:ascii="Cambria Math" w:hAnsi="Cambria Math"/>
          <w:color w:val="000000"/>
        </w:rPr>
        <w:t>n=(p-1)(q-1)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 xml:space="preserve">4) выбирается целое число e – взаимно простое с </w:t>
      </w:r>
      <w:r>
        <w:rPr>
          <w:rFonts w:ascii="Cambria Math" w:hAnsi="Cambria Math"/>
          <w:color w:val="000000"/>
        </w:rPr>
        <w:t xml:space="preserve">n </w:t>
      </w:r>
      <w:r>
        <w:rPr>
          <w:color w:val="000000"/>
        </w:rPr>
        <w:t xml:space="preserve">и </w:t>
      </w:r>
      <w:r>
        <w:rPr>
          <w:rFonts w:ascii="Cambria Math" w:hAnsi="Cambria Math"/>
          <w:color w:val="000000"/>
        </w:rPr>
        <w:t xml:space="preserve">1&lt;e&lt; n </w:t>
      </w:r>
      <w:r>
        <w:rPr>
          <w:color w:val="000000"/>
        </w:rPr>
        <w:t>. Оно называется открытой экспонентой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 xml:space="preserve">5) вычисляется число d, мультипликативно обратное к числу e по модулю </w:t>
      </w:r>
      <w:r>
        <w:rPr>
          <w:rFonts w:ascii="Cambria Math" w:hAnsi="Cambria Math"/>
          <w:color w:val="000000"/>
        </w:rPr>
        <w:t>n</w:t>
      </w:r>
      <w:r>
        <w:rPr>
          <w:color w:val="000000"/>
        </w:rPr>
        <w:t>, т.е.</w:t>
      </w:r>
    </w:p>
    <w:p>
      <w:pPr>
        <w:pStyle w:val="NormalWeb"/>
        <w:spacing w:beforeAutospacing="0" w:before="0" w:afterAutospacing="0" w:after="160"/>
        <w:ind w:left="-851"/>
        <w:jc w:val="center"/>
        <w:rPr/>
      </w:pPr>
      <w:r>
        <w:rPr>
          <w:rFonts w:ascii="Cambria Math" w:hAnsi="Cambria Math"/>
          <w:color w:val="000000"/>
        </w:rPr>
        <w:t xml:space="preserve">d∙e </w:t>
      </w:r>
      <w:r>
        <w:rPr>
          <w:color w:val="000000"/>
        </w:rPr>
        <w:t xml:space="preserve">= </w:t>
      </w:r>
      <w:r>
        <w:rPr>
          <w:rFonts w:ascii="Cambria Math" w:hAnsi="Cambria Math"/>
          <w:color w:val="000000"/>
        </w:rPr>
        <w:t>1 (mod φn)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Число d называется секретной экспонентой; обычно оно вычисляется при помощи расширенного алгоритма Евклида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6) пара (e, n) публикуется в качестве открытого ключа RSA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7) пара (d, n) играет роль закрытого ключа RSA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Шифрование происходит по следующему алгоритму: берется число m и возводится в степень e по модулю n. На выходе будет получено значение c – зашифрованная информация.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Для расшифровки необходимо значение с возвести в степень d по модулю n. Полученное выражение будет совпадать с исходным.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Web"/>
        <w:spacing w:beforeAutospacing="0" w:before="0" w:afterAutospacing="0" w:after="160"/>
        <w:ind w:firstLine="426"/>
        <w:jc w:val="both"/>
        <w:rPr/>
      </w:pPr>
      <w:r>
        <w:rPr>
          <w:color w:val="000000"/>
        </w:rPr>
        <w:t>Схема коллективной подписи методом RSA изображена на рисунке ниже.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638800" cy="42367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color w:val="auto"/>
          <w:sz w:val="24"/>
        </w:rPr>
      </w:pPr>
      <w:r>
        <w:rPr>
          <w:rFonts w:cs="Times New Roman" w:ascii="Times New Roman" w:hAnsi="Times New Roman"/>
          <w:b w:val="false"/>
          <w:color w:val="auto"/>
          <w:sz w:val="24"/>
        </w:rPr>
        <w:t xml:space="preserve">Рисунок </w:t>
      </w:r>
      <w:r>
        <w:rPr>
          <w:rFonts w:cs="Times New Roman" w:ascii="Times New Roman" w:hAnsi="Times New Roman"/>
          <w:b w:val="false"/>
          <w:color w:val="auto"/>
          <w:sz w:val="24"/>
        </w:rPr>
        <w:fldChar w:fldCharType="begin"/>
      </w:r>
      <w:r>
        <w:rPr>
          <w:sz w:val="24"/>
          <w:b w:val="false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4"/>
          <w:b w:val="false"/>
          <w:rFonts w:cs="Times New Roman" w:ascii="Times New Roman" w:hAnsi="Times New Roman"/>
          <w:color w:val="auto"/>
        </w:rPr>
        <w:fldChar w:fldCharType="separate"/>
      </w:r>
      <w:r>
        <w:rPr>
          <w:sz w:val="24"/>
          <w:b w:val="false"/>
          <w:rFonts w:cs="Times New Roman" w:ascii="Times New Roman" w:hAnsi="Times New Roman"/>
          <w:color w:val="auto"/>
        </w:rPr>
        <w:t>1</w:t>
      </w:r>
      <w:r>
        <w:rPr>
          <w:sz w:val="24"/>
          <w:b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b w:val="false"/>
          <w:color w:val="auto"/>
          <w:sz w:val="24"/>
        </w:rPr>
        <w:t xml:space="preserve"> -  Схема коллективной электронной подписи RSA</w:t>
      </w:r>
    </w:p>
    <w:p>
      <w:pPr>
        <w:pStyle w:val="NormalWeb"/>
        <w:spacing w:beforeAutospacing="0" w:before="0" w:afterAutospacing="0" w:after="160"/>
        <w:ind w:firstLine="709"/>
        <w:rPr/>
      </w:pPr>
      <w:r>
        <w:rPr>
          <w:color w:val="000000"/>
        </w:rPr>
        <w:t>Описание процесса можно сформулировать следующим образом: каждому участнику коллективной подписи присваивается номер в соответствии с модулем n (чем больше n, тем выше номер). Эти номера используются для обозначения порядка подписи и проверки. На вход подается числовое значение, часто представляющее собой хэш, которое первый участник подписывает, возводя в степень d по модулю n (где значения d и n у каждого участника свои). Полученное значение передается следующему участнику, который также подписывает его и передает следующему участнику. Процесс заканчивается, когда последний участник подписывает полученное им значение. Этот цикл формирует коллективную подпись.</w:t>
      </w:r>
    </w:p>
    <w:p>
      <w:pPr>
        <w:pStyle w:val="NormalWeb"/>
        <w:spacing w:beforeAutospacing="0" w:before="0" w:afterAutospacing="0" w:after="160"/>
        <w:ind w:firstLine="709"/>
        <w:rPr/>
      </w:pPr>
      <w:r>
        <w:rPr>
          <w:color w:val="000000"/>
        </w:rPr>
        <w:t>Проверка подписи выполняется аналогичным образом, начиная с подписи последнего участника и двигаясь к первому. После проверки подписей всех участников восстанавливается изначальное значение хэша.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Примеры работы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638800" cy="12636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color w:val="auto"/>
          <w:sz w:val="24"/>
        </w:rPr>
      </w:pPr>
      <w:r>
        <w:rPr>
          <w:rFonts w:cs="Times New Roman" w:ascii="Times New Roman" w:hAnsi="Times New Roman"/>
          <w:b w:val="false"/>
          <w:color w:val="auto"/>
          <w:sz w:val="24"/>
        </w:rPr>
        <w:t xml:space="preserve">Рисунок </w:t>
      </w:r>
      <w:r>
        <w:rPr>
          <w:rFonts w:cs="Times New Roman" w:ascii="Times New Roman" w:hAnsi="Times New Roman"/>
          <w:b w:val="false"/>
          <w:color w:val="auto"/>
          <w:sz w:val="24"/>
        </w:rPr>
        <w:fldChar w:fldCharType="begin"/>
      </w:r>
      <w:r>
        <w:rPr>
          <w:sz w:val="24"/>
          <w:b w:val="false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4"/>
          <w:b w:val="false"/>
          <w:rFonts w:cs="Times New Roman" w:ascii="Times New Roman" w:hAnsi="Times New Roman"/>
          <w:color w:val="auto"/>
        </w:rPr>
        <w:fldChar w:fldCharType="separate"/>
      </w:r>
      <w:r>
        <w:rPr>
          <w:sz w:val="24"/>
          <w:b w:val="false"/>
          <w:rFonts w:cs="Times New Roman" w:ascii="Times New Roman" w:hAnsi="Times New Roman"/>
          <w:color w:val="auto"/>
        </w:rPr>
        <w:t>2</w:t>
      </w:r>
      <w:r>
        <w:rPr>
          <w:sz w:val="24"/>
          <w:b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b w:val="false"/>
          <w:color w:val="auto"/>
          <w:sz w:val="24"/>
        </w:rPr>
        <w:t xml:space="preserve"> – Пример №1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49290" cy="121856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color w:val="auto"/>
          <w:sz w:val="24"/>
        </w:rPr>
      </w:pPr>
      <w:r>
        <w:rPr>
          <w:rFonts w:cs="Times New Roman" w:ascii="Times New Roman" w:hAnsi="Times New Roman"/>
          <w:b w:val="false"/>
          <w:color w:val="auto"/>
          <w:sz w:val="24"/>
        </w:rPr>
        <w:t>Рисунок 3 – Пример №2</w:t>
      </w:r>
    </w:p>
    <w:p>
      <w:pPr>
        <w:pStyle w:val="Normal"/>
        <w:rPr/>
      </w:pPr>
      <w:r>
        <w:rPr/>
      </w:r>
    </w:p>
    <w:p>
      <w:pPr>
        <w:pStyle w:val="Caption"/>
        <w:rPr>
          <w:rFonts w:ascii="Times New Roman" w:hAnsi="Times New Roman" w:cs="Times New Roman"/>
          <w:b w:val="false"/>
          <w:sz w:val="28"/>
        </w:rPr>
      </w:pPr>
      <w:r>
        <w:rPr/>
        <w:drawing>
          <wp:inline distT="0" distB="0" distL="0" distR="0">
            <wp:extent cx="5940425" cy="127254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color w:val="auto"/>
          <w:sz w:val="24"/>
        </w:rPr>
      </w:pPr>
      <w:r>
        <w:rPr>
          <w:rFonts w:cs="Times New Roman" w:ascii="Times New Roman" w:hAnsi="Times New Roman"/>
          <w:b w:val="false"/>
          <w:color w:val="auto"/>
          <w:sz w:val="24"/>
        </w:rPr>
        <w:t>Рисунок 4 – Пример №3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6aa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986aa7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86aa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986aa7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986aa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86a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LibreOffice/24.2.6.2$Linux_X86_64 LibreOffice_project/420$Build-2</Application>
  <AppVersion>15.0000</AppVersion>
  <Pages>5</Pages>
  <Words>568</Words>
  <Characters>3862</Characters>
  <CharactersWithSpaces>4398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2024-10-08T08:48:00Z</dcterms:created>
  <dc:creator>Yaroslav Gelasimov</dc:creator>
  <dc:description/>
  <dc:language>en-US</dc:language>
  <cp:lastModifiedBy>Yaroslav Gelasimov</cp:lastModifiedBy>
  <dcterms:modified xsi:type="dcterms:W3CDTF">2024-10-08T08:59:00Z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