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88051" w14:textId="77777777" w:rsidR="007763C2" w:rsidRDefault="007763C2" w:rsidP="007763C2">
      <w:pPr>
        <w:wordWrap/>
        <w:ind w:firstLine="240"/>
        <w:jc w:val="left"/>
        <w:rPr>
          <w:sz w:val="24"/>
          <w:szCs w:val="24"/>
        </w:rPr>
      </w:pP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1)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유진아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Cs w:val="20"/>
          <w:shd w:val="clear" w:color="auto" w:fill="FFFFFF"/>
        </w:rPr>
        <w:t>『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출범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2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년만에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토스뱅크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첫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분기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흑자</w:t>
      </w:r>
      <w:r>
        <w:rPr>
          <w:rFonts w:ascii="Arial" w:hAnsi="Arial" w:cs="Arial"/>
          <w:color w:val="000000"/>
          <w:szCs w:val="20"/>
          <w:shd w:val="clear" w:color="auto" w:fill="FFFFFF"/>
        </w:rPr>
        <w:t>』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 w:hint="eastAsia"/>
          <w:color w:val="000000"/>
          <w:szCs w:val="20"/>
          <w:shd w:val="clear" w:color="auto" w:fill="FFFFFF"/>
        </w:rPr>
        <w:t>비즈워치</w:t>
      </w:r>
      <w:proofErr w:type="spellEnd"/>
      <w:r>
        <w:rPr>
          <w:rFonts w:ascii="Arial" w:hAnsi="Arial" w:cs="Arial"/>
          <w:color w:val="000000"/>
          <w:szCs w:val="20"/>
          <w:shd w:val="clear" w:color="auto" w:fill="FFFFFF"/>
        </w:rPr>
        <w:t xml:space="preserve">, 2023.11.30  </w:t>
      </w:r>
      <w:hyperlink r:id="rId4" w:history="1">
        <w:r w:rsidRPr="000A5E6E">
          <w:rPr>
            <w:rStyle w:val="Hyperlink"/>
            <w:sz w:val="24"/>
            <w:szCs w:val="24"/>
          </w:rPr>
          <w:t>https://news.bizwatch.co.kr/article/finance/2023/11/30/0023</w:t>
        </w:r>
      </w:hyperlink>
    </w:p>
    <w:p w14:paraId="4FCF9671" w14:textId="77777777" w:rsidR="007763C2" w:rsidRPr="00613BA0" w:rsidRDefault="007763C2" w:rsidP="007763C2">
      <w:pPr>
        <w:wordWrap/>
        <w:ind w:left="24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0937BF3" wp14:editId="2506EB67">
            <wp:extent cx="982144" cy="895350"/>
            <wp:effectExtent l="0" t="0" r="8890" b="0"/>
            <wp:docPr id="1" name="그림 1" descr="http://cdn.bizwatch.co.kr/news/photo/2023/11/30/97158b6c76c6e0567220b2c9939dbc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bizwatch.co.kr/news/photo/2023/11/30/97158b6c76c6e0567220b2c9939dbc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57" cy="9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3FFF" w14:textId="77777777" w:rsidR="007763C2" w:rsidRPr="007763C2" w:rsidRDefault="007763C2" w:rsidP="007763C2">
      <w:pPr>
        <w:wordWrap/>
        <w:spacing w:line="276" w:lineRule="auto"/>
        <w:ind w:firstLine="240"/>
        <w:jc w:val="left"/>
        <w:rPr>
          <w:szCs w:val="20"/>
        </w:rPr>
      </w:pPr>
      <w:proofErr w:type="spellStart"/>
      <w:r w:rsidRPr="007763C2">
        <w:rPr>
          <w:rFonts w:hint="eastAsia"/>
          <w:szCs w:val="20"/>
        </w:rPr>
        <w:t>T</w:t>
      </w:r>
      <w:r w:rsidRPr="007763C2">
        <w:rPr>
          <w:szCs w:val="20"/>
        </w:rPr>
        <w:t>ossBank</w:t>
      </w:r>
      <w:proofErr w:type="spellEnd"/>
      <w:r w:rsidRPr="007763C2">
        <w:rPr>
          <w:szCs w:val="20"/>
        </w:rPr>
        <w:t xml:space="preserve"> had Net </w:t>
      </w:r>
      <w:proofErr w:type="gramStart"/>
      <w:r w:rsidRPr="007763C2">
        <w:rPr>
          <w:szCs w:val="20"/>
        </w:rPr>
        <w:t>Profit(</w:t>
      </w:r>
      <w:proofErr w:type="gramEnd"/>
      <w:r w:rsidRPr="007763C2">
        <w:rPr>
          <w:szCs w:val="20"/>
        </w:rPr>
        <w:t>Net Income) of KRW 8.6 Billion in the 3</w:t>
      </w:r>
      <w:r w:rsidRPr="007763C2">
        <w:rPr>
          <w:szCs w:val="20"/>
          <w:vertAlign w:val="superscript"/>
        </w:rPr>
        <w:t>rd</w:t>
      </w:r>
      <w:r w:rsidRPr="007763C2">
        <w:rPr>
          <w:szCs w:val="20"/>
        </w:rPr>
        <w:t xml:space="preserve"> Quarter of 2023. The main resource of Bank Industry company’s profit is </w:t>
      </w:r>
      <w:proofErr w:type="spellStart"/>
      <w:proofErr w:type="gramStart"/>
      <w:r w:rsidRPr="007763C2">
        <w:rPr>
          <w:szCs w:val="20"/>
        </w:rPr>
        <w:t>NetInterestMargin</w:t>
      </w:r>
      <w:proofErr w:type="spellEnd"/>
      <w:r w:rsidRPr="007763C2">
        <w:rPr>
          <w:szCs w:val="20"/>
        </w:rPr>
        <w:t>(</w:t>
      </w:r>
      <w:proofErr w:type="gramEnd"/>
      <w:r w:rsidRPr="007763C2">
        <w:rPr>
          <w:szCs w:val="20"/>
        </w:rPr>
        <w:t xml:space="preserve">NIM). </w:t>
      </w:r>
      <w:proofErr w:type="spellStart"/>
      <w:r w:rsidRPr="007763C2">
        <w:rPr>
          <w:szCs w:val="20"/>
        </w:rPr>
        <w:t>TossBank</w:t>
      </w:r>
      <w:proofErr w:type="spellEnd"/>
      <w:r w:rsidRPr="007763C2">
        <w:rPr>
          <w:szCs w:val="20"/>
        </w:rPr>
        <w:t xml:space="preserve"> achieved 391.8Billion </w:t>
      </w:r>
      <w:r w:rsidRPr="007763C2">
        <w:rPr>
          <w:rFonts w:hint="eastAsia"/>
          <w:szCs w:val="20"/>
        </w:rPr>
        <w:t>K</w:t>
      </w:r>
      <w:r w:rsidRPr="007763C2">
        <w:rPr>
          <w:szCs w:val="20"/>
        </w:rPr>
        <w:t xml:space="preserve">RW of </w:t>
      </w:r>
      <w:proofErr w:type="spellStart"/>
      <w:r w:rsidRPr="007763C2">
        <w:rPr>
          <w:szCs w:val="20"/>
        </w:rPr>
        <w:t>NetProfit</w:t>
      </w:r>
      <w:proofErr w:type="spellEnd"/>
      <w:r w:rsidRPr="007763C2">
        <w:rPr>
          <w:szCs w:val="20"/>
        </w:rPr>
        <w:t>, which is index of Profitability. The rise in the Loan-to-</w:t>
      </w:r>
      <w:proofErr w:type="gramStart"/>
      <w:r w:rsidRPr="007763C2">
        <w:rPr>
          <w:szCs w:val="20"/>
        </w:rPr>
        <w:t>Deposit(</w:t>
      </w:r>
      <w:proofErr w:type="gramEnd"/>
      <w:r w:rsidRPr="007763C2">
        <w:rPr>
          <w:szCs w:val="20"/>
        </w:rPr>
        <w:t xml:space="preserve">LTD)Ratio(From 50.4% to 55.6%) helped boost NIM and Interest Profits, which laid the </w:t>
      </w:r>
      <w:proofErr w:type="spellStart"/>
      <w:r w:rsidRPr="007763C2">
        <w:rPr>
          <w:szCs w:val="20"/>
        </w:rPr>
        <w:t>TossBank</w:t>
      </w:r>
      <w:proofErr w:type="spellEnd"/>
      <w:r w:rsidRPr="007763C2">
        <w:rPr>
          <w:szCs w:val="20"/>
        </w:rPr>
        <w:t xml:space="preserve"> for the surplus conversion and achieved its first quarterly surplus in two years since its launch. </w:t>
      </w:r>
      <w:r w:rsidRPr="007763C2">
        <w:rPr>
          <w:rFonts w:hint="eastAsia"/>
          <w:szCs w:val="20"/>
        </w:rPr>
        <w:t>T</w:t>
      </w:r>
      <w:r w:rsidRPr="007763C2">
        <w:rPr>
          <w:szCs w:val="20"/>
        </w:rPr>
        <w:t xml:space="preserve">his is an increase of KRW 19 </w:t>
      </w:r>
      <w:proofErr w:type="gramStart"/>
      <w:r w:rsidRPr="007763C2">
        <w:rPr>
          <w:szCs w:val="20"/>
        </w:rPr>
        <w:t>Billion</w:t>
      </w:r>
      <w:proofErr w:type="gramEnd"/>
      <w:r w:rsidRPr="007763C2">
        <w:rPr>
          <w:szCs w:val="20"/>
        </w:rPr>
        <w:t xml:space="preserve"> compared to the net loss of KRW 10.5 Billion in the 2</w:t>
      </w:r>
      <w:r w:rsidRPr="007763C2">
        <w:rPr>
          <w:szCs w:val="20"/>
          <w:vertAlign w:val="superscript"/>
        </w:rPr>
        <w:t xml:space="preserve">nd </w:t>
      </w:r>
      <w:r w:rsidRPr="007763C2">
        <w:rPr>
          <w:szCs w:val="20"/>
        </w:rPr>
        <w:t xml:space="preserve">Quarter, Interest profit from 243.8 Billion to up 60.7% increase to 391.8Billion. As the capital increase of 285 </w:t>
      </w:r>
      <w:proofErr w:type="gramStart"/>
      <w:r w:rsidRPr="007763C2">
        <w:rPr>
          <w:szCs w:val="20"/>
        </w:rPr>
        <w:t>Billion</w:t>
      </w:r>
      <w:proofErr w:type="gramEnd"/>
      <w:r w:rsidRPr="007763C2">
        <w:rPr>
          <w:szCs w:val="20"/>
        </w:rPr>
        <w:t xml:space="preserve"> KRW was completed in October, the BIS Capital Adequacy ratio stood at 13.0percent from 10.84% at the end of September. Toss Banks’s accumulated allowance for bad debt were also increased from 288.2 </w:t>
      </w:r>
      <w:proofErr w:type="gramStart"/>
      <w:r w:rsidRPr="007763C2">
        <w:rPr>
          <w:szCs w:val="20"/>
        </w:rPr>
        <w:t>Billion</w:t>
      </w:r>
      <w:proofErr w:type="gramEnd"/>
      <w:r w:rsidRPr="007763C2">
        <w:rPr>
          <w:szCs w:val="20"/>
        </w:rPr>
        <w:t xml:space="preserve"> KRW to 303.5 Billion KRW to show good </w:t>
      </w:r>
      <w:proofErr w:type="spellStart"/>
      <w:r w:rsidRPr="007763C2">
        <w:rPr>
          <w:szCs w:val="20"/>
        </w:rPr>
        <w:t>Stabe</w:t>
      </w:r>
      <w:proofErr w:type="spellEnd"/>
      <w:r w:rsidRPr="007763C2">
        <w:rPr>
          <w:szCs w:val="20"/>
        </w:rPr>
        <w:t xml:space="preserve"> loss absorption </w:t>
      </w:r>
      <w:proofErr w:type="spellStart"/>
      <w:r w:rsidRPr="007763C2">
        <w:rPr>
          <w:szCs w:val="20"/>
        </w:rPr>
        <w:t>capacikty</w:t>
      </w:r>
      <w:proofErr w:type="spellEnd"/>
      <w:r w:rsidRPr="007763C2">
        <w:rPr>
          <w:szCs w:val="20"/>
        </w:rPr>
        <w:t>.</w:t>
      </w:r>
    </w:p>
    <w:p w14:paraId="3562F666" w14:textId="77777777" w:rsidR="007763C2" w:rsidRPr="007763C2" w:rsidRDefault="007763C2" w:rsidP="007763C2">
      <w:pPr>
        <w:wordWrap/>
        <w:spacing w:line="276" w:lineRule="auto"/>
        <w:ind w:firstLine="240"/>
        <w:jc w:val="left"/>
        <w:rPr>
          <w:szCs w:val="20"/>
        </w:rPr>
      </w:pPr>
      <w:r w:rsidRPr="007763C2">
        <w:rPr>
          <w:rFonts w:hint="eastAsia"/>
          <w:szCs w:val="20"/>
        </w:rPr>
        <w:t>O</w:t>
      </w:r>
      <w:r w:rsidRPr="007763C2">
        <w:rPr>
          <w:szCs w:val="20"/>
        </w:rPr>
        <w:t xml:space="preserve">verall </w:t>
      </w:r>
      <w:proofErr w:type="spellStart"/>
      <w:r w:rsidRPr="007763C2">
        <w:rPr>
          <w:szCs w:val="20"/>
        </w:rPr>
        <w:t>TossBank’s</w:t>
      </w:r>
      <w:proofErr w:type="spellEnd"/>
      <w:r w:rsidRPr="007763C2">
        <w:rPr>
          <w:szCs w:val="20"/>
        </w:rPr>
        <w:t xml:space="preserve"> Profitability and Adequacy Ratio were improved but still There is Risk of increasing interest rate burden that makes </w:t>
      </w:r>
      <w:proofErr w:type="spellStart"/>
      <w:r w:rsidRPr="007763C2">
        <w:rPr>
          <w:szCs w:val="20"/>
        </w:rPr>
        <w:t>TossBank</w:t>
      </w:r>
      <w:proofErr w:type="spellEnd"/>
      <w:r w:rsidRPr="007763C2">
        <w:rPr>
          <w:szCs w:val="20"/>
        </w:rPr>
        <w:t xml:space="preserve"> to increase the portion of low and middle credit people.  </w:t>
      </w:r>
    </w:p>
    <w:p w14:paraId="6D3932E8" w14:textId="77777777" w:rsidR="007763C2" w:rsidRDefault="007763C2">
      <w:pPr>
        <w:rPr>
          <w:noProof/>
        </w:rPr>
      </w:pPr>
    </w:p>
    <w:p w14:paraId="593F0101" w14:textId="77777777" w:rsidR="007763C2" w:rsidRDefault="007763C2">
      <w:pPr>
        <w:rPr>
          <w:noProof/>
        </w:rPr>
      </w:pPr>
    </w:p>
    <w:p w14:paraId="7E064E10" w14:textId="25106929" w:rsidR="00204B63" w:rsidRDefault="007763C2">
      <w:pPr>
        <w:rPr>
          <w:noProof/>
        </w:rPr>
      </w:pPr>
      <w:r>
        <w:rPr>
          <w:noProof/>
        </w:rPr>
        <w:t>2.</w:t>
      </w:r>
    </w:p>
    <w:p w14:paraId="39C73E50" w14:textId="1F8847A9" w:rsidR="003A246E" w:rsidRDefault="0010193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BF196D" wp14:editId="28938737">
            <wp:extent cx="6016375" cy="5357812"/>
            <wp:effectExtent l="0" t="0" r="3810" b="0"/>
            <wp:docPr id="1008329632" name="그림 1" descr="텍스트, 번호, 평행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29632" name="그림 1" descr="텍스트, 번호, 평행, 문서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884" cy="53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77EA3" wp14:editId="3CFD11CF">
            <wp:extent cx="5628153" cy="8201025"/>
            <wp:effectExtent l="0" t="0" r="0" b="0"/>
            <wp:docPr id="1065804603" name="그림 2" descr="텍스트, 문서, 평행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04603" name="그림 2" descr="텍스트, 문서, 평행, 영수증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286" cy="82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56AF8" wp14:editId="12880E94">
            <wp:extent cx="5630958" cy="4243387"/>
            <wp:effectExtent l="0" t="0" r="8255" b="5080"/>
            <wp:docPr id="2001184183" name="그림 3" descr="텍스트, 영수증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84183" name="그림 3" descr="텍스트, 영수증, 번호, 평행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15" cy="42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A8AC" w14:textId="77777777" w:rsidR="007763C2" w:rsidRPr="007763C2" w:rsidRDefault="007763C2" w:rsidP="007763C2"/>
    <w:p w14:paraId="05430338" w14:textId="77777777" w:rsidR="007763C2" w:rsidRDefault="007763C2" w:rsidP="007763C2">
      <w:r>
        <w:rPr>
          <w:rFonts w:hint="eastAsia"/>
        </w:rPr>
        <w:t xml:space="preserve">3. This is a </w:t>
      </w:r>
      <w:r w:rsidRPr="00EB523A">
        <w:t>consolidated statement of financial position</w:t>
      </w:r>
      <w:r>
        <w:rPr>
          <w:rFonts w:hint="eastAsia"/>
        </w:rPr>
        <w:t xml:space="preserve"> of Viva </w:t>
      </w:r>
      <w:proofErr w:type="spellStart"/>
      <w:proofErr w:type="gramStart"/>
      <w:r>
        <w:rPr>
          <w:rFonts w:hint="eastAsia"/>
        </w:rPr>
        <w:t>Republica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Toss Bank). Left session is on December 31, 2022, and right session is on December 31, 2021. Therefore, it can be seen as the difference between a year. On the upper side, there is an asset divided into </w:t>
      </w:r>
      <w:r>
        <w:t>‘</w:t>
      </w:r>
      <w:r>
        <w:rPr>
          <w:rFonts w:hint="eastAsia"/>
        </w:rPr>
        <w:t>current asset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non-current asset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financial asset</w:t>
      </w:r>
      <w:r>
        <w:t>’</w:t>
      </w:r>
      <w:r>
        <w:rPr>
          <w:rFonts w:hint="eastAsia"/>
        </w:rPr>
        <w:t>.</w:t>
      </w:r>
    </w:p>
    <w:p w14:paraId="76DF4140" w14:textId="77777777" w:rsidR="007763C2" w:rsidRDefault="007763C2" w:rsidP="007763C2">
      <w:r>
        <w:rPr>
          <w:rFonts w:hint="eastAsia"/>
        </w:rPr>
        <w:t xml:space="preserve"> Firstly, the asset rose about 200-</w:t>
      </w:r>
      <w:r>
        <w:t>billion</w:t>
      </w:r>
      <w:r>
        <w:rPr>
          <w:rFonts w:hint="eastAsia"/>
        </w:rPr>
        <w:t xml:space="preserve">s won. Among the part of the detailed assets, Short-Term Trading </w:t>
      </w:r>
      <w:r>
        <w:t>Asset (</w:t>
      </w:r>
      <w:r>
        <w:rPr>
          <w:rFonts w:hint="eastAsia"/>
        </w:rPr>
        <w:t xml:space="preserve">3) illustrated the biggest difference. Moreover, non-current asset also increased much as same as the difference of current asset. However, the difference of the financial was the most. In 2021, It was about 580-billions won, but </w:t>
      </w:r>
      <w:proofErr w:type="gramStart"/>
      <w:r>
        <w:rPr>
          <w:rFonts w:hint="eastAsia"/>
        </w:rPr>
        <w:t>In</w:t>
      </w:r>
      <w:proofErr w:type="gramEnd"/>
      <w:r>
        <w:rPr>
          <w:rFonts w:hint="eastAsia"/>
        </w:rPr>
        <w:t xml:space="preserve"> 2022, it increased a lot and recorded about 900-billions. </w:t>
      </w:r>
      <w:proofErr w:type="gramStart"/>
      <w:r>
        <w:rPr>
          <w:rFonts w:hint="eastAsia"/>
        </w:rPr>
        <w:t>So</w:t>
      </w:r>
      <w:proofErr w:type="gramEnd"/>
      <w:r>
        <w:rPr>
          <w:rFonts w:hint="eastAsia"/>
        </w:rPr>
        <w:t xml:space="preserve"> the total asset was 2025-billions won in 2021, and 2737-billions won in 2022.</w:t>
      </w:r>
    </w:p>
    <w:p w14:paraId="6DD72025" w14:textId="77777777" w:rsidR="007763C2" w:rsidRPr="00E3319A" w:rsidRDefault="007763C2" w:rsidP="007763C2">
      <w:r>
        <w:rPr>
          <w:rFonts w:hint="eastAsia"/>
        </w:rPr>
        <w:t xml:space="preserve"> Secondly, the liability also divided into </w:t>
      </w:r>
      <w:r>
        <w:t>‘</w:t>
      </w:r>
      <w:r>
        <w:rPr>
          <w:rFonts w:hint="eastAsia"/>
        </w:rPr>
        <w:t>current liability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non-current liability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financial liability</w:t>
      </w:r>
      <w:r>
        <w:t>’</w:t>
      </w:r>
      <w:r>
        <w:rPr>
          <w:rFonts w:hint="eastAsia"/>
        </w:rPr>
        <w:t>. Current liability was about 712-</w:t>
      </w:r>
      <w:r>
        <w:t>billion</w:t>
      </w:r>
      <w:r>
        <w:rPr>
          <w:rFonts w:hint="eastAsia"/>
        </w:rPr>
        <w:t xml:space="preserve">s won in 2021, but 1018-billions won in 2022. The non-current liability also increased. It was 696-billions won in 2021, but 991-billions won in 2022. </w:t>
      </w:r>
      <w:r>
        <w:t>Additionally,</w:t>
      </w:r>
      <w:r>
        <w:rPr>
          <w:rFonts w:hint="eastAsia"/>
        </w:rPr>
        <w:t xml:space="preserve"> the difference of financial liability was smaller than any other liability, but it recorded about 230-billions won of 747-billions won and 519-billions won. Therefore, the total liability was 1865-billions won in 2022 and 1301-billions won in 2021.</w:t>
      </w:r>
    </w:p>
    <w:p w14:paraId="70F91ADB" w14:textId="77777777" w:rsidR="007763C2" w:rsidRPr="00650B9A" w:rsidRDefault="007763C2" w:rsidP="007763C2">
      <w:r>
        <w:rPr>
          <w:rFonts w:hint="eastAsia"/>
        </w:rPr>
        <w:lastRenderedPageBreak/>
        <w:t xml:space="preserve"> To sum up, Equity could be calculated. In 2021, the equity was about 724-billions won which is the subtraction 2025 of 1301. </w:t>
      </w:r>
      <w:r>
        <w:t>Additionally</w:t>
      </w:r>
      <w:r>
        <w:rPr>
          <w:rFonts w:hint="eastAsia"/>
        </w:rPr>
        <w:t xml:space="preserve">, the equity in 2022 was about 872 which is the </w:t>
      </w:r>
      <w:r>
        <w:t>subtract</w:t>
      </w:r>
      <w:r>
        <w:rPr>
          <w:rFonts w:hint="eastAsia"/>
        </w:rPr>
        <w:t xml:space="preserve">ion 2737 of 1865. The scale of the </w:t>
      </w:r>
      <w:r>
        <w:t>business</w:t>
      </w:r>
      <w:r>
        <w:rPr>
          <w:rFonts w:hint="eastAsia"/>
        </w:rPr>
        <w:t xml:space="preserve"> was much bigger than before year.</w:t>
      </w:r>
    </w:p>
    <w:p w14:paraId="79D5CC8A" w14:textId="6EFBCEFD" w:rsidR="007763C2" w:rsidRDefault="00CC118B" w:rsidP="007763C2">
      <w:pPr>
        <w:tabs>
          <w:tab w:val="left" w:pos="1513"/>
        </w:tabs>
      </w:pPr>
      <w:r w:rsidRPr="00204B63">
        <w:rPr>
          <w:noProof/>
        </w:rPr>
        <w:drawing>
          <wp:inline distT="0" distB="0" distL="0" distR="0" wp14:anchorId="2785EB8F" wp14:editId="5F5207AB">
            <wp:extent cx="2496882" cy="1782618"/>
            <wp:effectExtent l="0" t="0" r="5080" b="0"/>
            <wp:docPr id="919026104" name="Picture 1" descr="A white shee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26104" name="Picture 1" descr="A white sheet with numbers an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6135" cy="17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B63">
        <w:rPr>
          <w:noProof/>
        </w:rPr>
        <w:drawing>
          <wp:inline distT="0" distB="0" distL="0" distR="0" wp14:anchorId="4D40B70C" wp14:editId="46BB19DB">
            <wp:extent cx="2484120" cy="1664245"/>
            <wp:effectExtent l="0" t="0" r="5080" b="0"/>
            <wp:docPr id="881796978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96978" name="Picture 1" descr="A table with numbers an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694" cy="17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DF38" w14:textId="79A8B380" w:rsidR="00CC118B" w:rsidRDefault="00CC118B" w:rsidP="007763C2">
      <w:pPr>
        <w:tabs>
          <w:tab w:val="left" w:pos="1513"/>
        </w:tabs>
      </w:pPr>
    </w:p>
    <w:p w14:paraId="45D1635C" w14:textId="35D452C4" w:rsidR="00CC118B" w:rsidRDefault="00CC118B" w:rsidP="007763C2">
      <w:pPr>
        <w:tabs>
          <w:tab w:val="left" w:pos="1513"/>
        </w:tabs>
      </w:pPr>
      <w:r w:rsidRPr="00204B63">
        <w:rPr>
          <w:noProof/>
        </w:rPr>
        <w:drawing>
          <wp:inline distT="0" distB="0" distL="0" distR="0" wp14:anchorId="754286A5" wp14:editId="5E54017E">
            <wp:extent cx="2486492" cy="2133600"/>
            <wp:effectExtent l="0" t="0" r="3175" b="0"/>
            <wp:docPr id="75628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86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276" cy="21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B63">
        <w:rPr>
          <w:noProof/>
        </w:rPr>
        <w:drawing>
          <wp:inline distT="0" distB="0" distL="0" distR="0" wp14:anchorId="2D77F7BB" wp14:editId="6E678232">
            <wp:extent cx="2484582" cy="2104435"/>
            <wp:effectExtent l="0" t="0" r="5080" b="3810"/>
            <wp:docPr id="149835856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58566" name="Picture 1" descr="A screenshot of a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5203" cy="21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B1DE" w14:textId="6DE03F85" w:rsidR="00CC118B" w:rsidRDefault="00CC118B" w:rsidP="007763C2">
      <w:pPr>
        <w:tabs>
          <w:tab w:val="left" w:pos="1513"/>
        </w:tabs>
      </w:pPr>
    </w:p>
    <w:p w14:paraId="0859431E" w14:textId="250E60A6" w:rsidR="00CC118B" w:rsidRDefault="00CC118B" w:rsidP="007763C2">
      <w:pPr>
        <w:tabs>
          <w:tab w:val="left" w:pos="1513"/>
        </w:tabs>
      </w:pPr>
    </w:p>
    <w:p w14:paraId="4FAC662B" w14:textId="23D86407" w:rsidR="00CC118B" w:rsidRPr="007763C2" w:rsidRDefault="00CC118B" w:rsidP="007763C2">
      <w:pPr>
        <w:tabs>
          <w:tab w:val="left" w:pos="1513"/>
        </w:tabs>
      </w:pPr>
      <w:r w:rsidRPr="00BD5B95">
        <w:rPr>
          <w:noProof/>
        </w:rPr>
        <w:drawing>
          <wp:inline distT="0" distB="0" distL="0" distR="0" wp14:anchorId="3F822EC5" wp14:editId="24B1DE73">
            <wp:extent cx="2484120" cy="469522"/>
            <wp:effectExtent l="0" t="0" r="0" b="635"/>
            <wp:docPr id="1751447821" name="Picture 1" descr="A white sheet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47821" name="Picture 1" descr="A white sheet with black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3794" cy="4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18B" w:rsidRPr="007763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3F"/>
    <w:rsid w:val="0010193F"/>
    <w:rsid w:val="00204B63"/>
    <w:rsid w:val="003A246E"/>
    <w:rsid w:val="00650B9A"/>
    <w:rsid w:val="00686727"/>
    <w:rsid w:val="007763C2"/>
    <w:rsid w:val="00BD5B95"/>
    <w:rsid w:val="00CC118B"/>
    <w:rsid w:val="00E3319A"/>
    <w:rsid w:val="00EB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FFB40"/>
  <w15:chartTrackingRefBased/>
  <w15:docId w15:val="{7867DCB5-532D-4251-8CD8-8446578D1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0193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1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9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93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93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93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93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93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93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193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193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93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9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9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9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9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93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93F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10193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193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19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19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19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19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19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19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19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19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63C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news.bizwatch.co.kr/article/finance/2023/11/30/0023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453</Words>
  <Characters>2585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수용 심</dc:creator>
  <cp:keywords/>
  <dc:description/>
  <cp:lastModifiedBy>김성현</cp:lastModifiedBy>
  <cp:revision>4</cp:revision>
  <dcterms:created xsi:type="dcterms:W3CDTF">2024-03-22T03:26:00Z</dcterms:created>
  <dcterms:modified xsi:type="dcterms:W3CDTF">2024-03-23T23:08:00Z</dcterms:modified>
</cp:coreProperties>
</file>