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CLARITY 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Fachkonzept Review Summary</w:t>
      </w:r>
    </w:p>
    <w:p>
      <w:pPr>
        <w:pBdr>
          <w:top w:val="single" w:color="1B4F72" w:sz="2" w:space="8"/>
          <w:bottom w:val="single" w:color="1B4F72" w:sz="2" w:space="8"/>
        </w:pBdr>
        <w:spacing w:before="400"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1.1  |  27. Februar 2026  |  DRAFT</w:t>
      </w:r>
    </w:p>
    <w:p>
      <w:pPr>
        <w:spacing w:before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Erstellt von: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(AI Review)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Review fuer: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Maciej (CFO)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Umfang: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Dokumente (22 + 4 neu)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Das Fachkonzept fuer Clarity Board umfasst nach diesem Review 26 Dokumente und deckt KPI-Management, HGB-Buchhaltung, DATEV-Export, Cash-Flow-Management, Szenarien-Engine, Belegerfassung, Budgetplanung, Sicherheit und UI/UX ab. </w:t>
      </w:r>
    </w:p>
    <w:p>
      <w:pPr>
        <w:spacing w:after="200"/>
      </w:pPr>
      <w:r>
        <w:t xml:space="preserve">Die urspruenglichen 22 Dokumente waren bereits umfassend. Der Review hat jedoch </w:t>
      </w:r>
      <w:r>
        <w:rPr>
          <w:b/>
          <w:bCs/>
        </w:rPr>
        <w:t xml:space="preserve">4 kritische Luecken</w:t>
      </w:r>
      <w:r>
        <w:t xml:space="preserve"> identifiziert und durch neue Dokumente geschlossen, sowie </w:t>
      </w:r>
      <w:r>
        <w:rPr>
          <w:b/>
          <w:bCs/>
        </w:rPr>
        <w:t xml:space="preserve">1 inhaltlichen Fehler</w:t>
      </w:r>
      <w:r>
        <w:t xml:space="preserve"> korrigiert.</w:t>
      </w:r>
    </w:p>
    <w:p>
      <w:pPr>
        <w:pStyle w:val="Heading2"/>
      </w:pPr>
      <w:r>
        <w:t xml:space="preserve">Gesamtstatus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3"/>
        <w:gridCol w:w="2003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Bestehende Dokumente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&amp; korrigiert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Dokumente (Luecken)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 erstellt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 noetig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Korrigierte Fehler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Behoben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Behoben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 Dokumente</w:t>
            </w:r>
          </w:p>
        </w:tc>
        <w:tc>
          <w:tcPr>
            <w:tcW w:type="dxa" w:w="2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Review-Ready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CFO-Review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Korrigierte Fehler</w:t>
      </w:r>
    </w:p>
    <w:p>
      <w:pPr>
        <w:pStyle w:val="Heading2"/>
      </w:pPr>
      <w:r>
        <w:t xml:space="preserve">2.1 FCF-Namenskonflikt (Dok. 11 - Cash Flow Management)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"Financing Cash Flow" wurde als "FCF" abgekuerzt. FCF steht aber branchenweit fuer "Free Cash Flow" (= OCF - CapEx). Das fuehrt zu Verwechslungsgefahr bei jeder Verwendung im Dashboard und in Reports.</w:t>
      </w:r>
    </w:p>
    <w:p>
      <w:pPr>
        <w:spacing w:after="200"/>
      </w:pPr>
      <w:r>
        <w:rPr>
          <w:b/>
          <w:bCs/>
        </w:rPr>
        <w:t xml:space="preserve">Loesung: </w:t>
      </w:r>
      <w:r>
        <w:t xml:space="preserve">Financing Cash Flow wird jetzt als "FinCF" abgekuerzt. Zusaetzlich wurde die FCF-Definition (Free Cash Flow = OCF - CapEx) explizit als eigenstaendige KPI ergaenzt.</w:t>
      </w:r>
    </w:p>
    <w:p>
      <w:r>
        <w:br w:type="page"/>
      </w:r>
    </w:p>
    <w:p>
      <w:pPr>
        <w:pStyle w:val="Heading1"/>
      </w:pPr>
      <w:r>
        <w:t xml:space="preserve">3. Neu erstellte Dokumente</w:t>
      </w:r>
    </w:p>
    <w:p>
      <w:pPr>
        <w:spacing w:after="200"/>
      </w:pPr>
      <w:r>
        <w:t xml:space="preserve">Folgende 4 Dokumente fehlten im urspruenglichen Konzept und wurden vollstaendig neu erstellt:</w:t>
      </w:r>
    </w:p>
    <w:p>
      <w:pPr>
        <w:pStyle w:val="Heading2"/>
      </w:pPr>
      <w:r>
        <w:t xml:space="preserve">3.1 Dok. 22: GetMOSS Integration</w:t>
      </w:r>
    </w:p>
    <w:p>
      <w:pPr>
        <w:spacing w:after="120"/>
      </w:pPr>
      <w:r>
        <w:rPr>
          <w:b/>
          <w:bCs/>
        </w:rPr>
        <w:t xml:space="preserve">Warum kritisch: </w:t>
      </w:r>
      <w:r>
        <w:t xml:space="preserve">GetMOSS war explizit in der Projektspezifikation als Datenquelle genannt ("Integration mit GetMOSS.com fuer Import von virtuellen Kreditkarten-Daten und Belegen"), aber in keinem der 22 Dokumente spezifiziert. Ohne dieses Dokument wuerde ein zentraler Datenfluss im System undokumentiert bleiben.</w:t>
      </w:r>
    </w:p>
    <w:p>
      <w:pPr>
        <w:spacing w:after="60"/>
      </w:pPr>
      <w:r>
        <w:rPr>
          <w:b/>
          <w:bCs/>
        </w:rPr>
        <w:t xml:space="preserve">Inhalt:</w:t>
      </w:r>
    </w:p>
    <w:p>
      <w:pPr>
        <w:pStyle w:val="ListParagraph"/>
        <w:numPr>
          <w:ilvl w:val="0"/>
          <w:numId w:val="2"/>
        </w:numPr>
      </w:pPr>
      <w:r>
        <w:t xml:space="preserve">MOSS-API-Integration: Webhook-Events (transaction.created, receipt.uploaded, etc.)</w:t>
      </w:r>
    </w:p>
    <w:p>
      <w:pPr>
        <w:pStyle w:val="ListParagraph"/>
        <w:numPr>
          <w:ilvl w:val="0"/>
          <w:numId w:val="2"/>
        </w:numPr>
      </w:pPr>
      <w:r>
        <w:t xml:space="preserve">Kategorie-Mapping: MOSS-Kategorien auf SKR03-Konten (inkl. Bewirtungskosten-Sonderlogik 70/30)</w:t>
      </w:r>
    </w:p>
    <w:p>
      <w:pPr>
        <w:pStyle w:val="ListParagraph"/>
        <w:numPr>
          <w:ilvl w:val="0"/>
          <w:numId w:val="2"/>
        </w:numPr>
      </w:pPr>
      <w:r>
        <w:t xml:space="preserve">Settlement-basierte Buchungslogik (Autorisierung vs. Settlement vs. Monatsabrechnung)</w:t>
      </w:r>
    </w:p>
    <w:p>
      <w:pPr>
        <w:pStyle w:val="ListParagraph"/>
        <w:numPr>
          <w:ilvl w:val="0"/>
          <w:numId w:val="2"/>
        </w:numPr>
      </w:pPr>
      <w:r>
        <w:t xml:space="preserve">GoBD-konforme Belegpflicht mit Eskalationsstufen (3/7/14/30 Tage)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GWG-Pruefungslogik und steuerliche Besonderheiten (Vorsteuerabzug, Kleinbetraege)</w:t>
      </w:r>
    </w:p>
    <w:p>
      <w:pPr>
        <w:pStyle w:val="Heading2"/>
      </w:pPr>
      <w:r>
        <w:t xml:space="preserve">3.2 Dok. 23: Anlagenverwaltung &amp; Abschreibungen (AfA)</w:t>
      </w:r>
    </w:p>
    <w:p>
      <w:pPr>
        <w:spacing w:after="120"/>
      </w:pPr>
      <w:r>
        <w:rPr>
          <w:b/>
          <w:bCs/>
        </w:rPr>
        <w:t xml:space="preserve">Warum kritisch: </w:t>
      </w:r>
      <w:r>
        <w:t xml:space="preserve">Das bestehende Konzept erwaehnte Abschreibungen nur in Buchungsvorlagen (Dok. 10), aber ohne Verwaltung des Anlagevermogens, Nutzungsdauern, GWG-Behandlung oder Anlagenspiegel. Fuer den Jahresabschluss und DATEV-Export ist das zwingend erforderlich.</w:t>
      </w:r>
    </w:p>
    <w:p>
      <w:pPr>
        <w:spacing w:after="60"/>
      </w:pPr>
      <w:r>
        <w:rPr>
          <w:b/>
          <w:bCs/>
        </w:rPr>
        <w:t xml:space="preserve">Inhalt:</w:t>
      </w:r>
    </w:p>
    <w:p>
      <w:pPr>
        <w:pStyle w:val="ListParagraph"/>
        <w:numPr>
          <w:ilvl w:val="0"/>
          <w:numId w:val="2"/>
        </w:numPr>
      </w:pPr>
      <w:r>
        <w:t xml:space="preserve">Anlageklassen mit SKR03-Kontenbereichen und AfA-Tabellen-Nutzungsdauern</w:t>
      </w:r>
    </w:p>
    <w:p>
      <w:pPr>
        <w:pStyle w:val="ListParagraph"/>
        <w:numPr>
          <w:ilvl w:val="0"/>
          <w:numId w:val="2"/>
        </w:numPr>
      </w:pPr>
      <w:r>
        <w:t xml:space="preserve">Sonderregel digitale Wirtschaftsgueter (BMF 2021: 1-Jahr-Sofortabschreibung)</w:t>
      </w:r>
    </w:p>
    <w:p>
      <w:pPr>
        <w:pStyle w:val="ListParagraph"/>
        <w:numPr>
          <w:ilvl w:val="0"/>
          <w:numId w:val="2"/>
        </w:numPr>
      </w:pPr>
      <w:r>
        <w:t xml:space="preserve">GWG-Entscheidungsbaum (bis 250 EUR / 250-800 EUR / ueber 800 EUR)</w:t>
      </w:r>
    </w:p>
    <w:p>
      <w:pPr>
        <w:pStyle w:val="ListParagraph"/>
        <w:numPr>
          <w:ilvl w:val="0"/>
          <w:numId w:val="2"/>
        </w:numPr>
      </w:pPr>
      <w:r>
        <w:t xml:space="preserve">Vollstaendiger Anlagenspiegel im DATEV-kompatiblen Format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KPI-Integration (Investitionsquote, Anlagendeckungsgrad, Reinvestitionsrate)</w:t>
      </w:r>
    </w:p>
    <w:p>
      <w:pPr>
        <w:pStyle w:val="Heading2"/>
      </w:pPr>
      <w:r>
        <w:t xml:space="preserve">3.3 Dok. 24: Regulatorische Meldepflichten</w:t>
      </w:r>
    </w:p>
    <w:p>
      <w:pPr>
        <w:spacing w:after="120"/>
      </w:pPr>
      <w:r>
        <w:rPr>
          <w:b/>
          <w:bCs/>
        </w:rPr>
        <w:t xml:space="preserve">Warum kritisch: </w:t>
      </w:r>
      <w:r>
        <w:t xml:space="preserve">DATEV-Export allein reicht nicht. Es fehlte die komplette Spezifikation fuer E-Bilanz (seit 2013 Pflicht!), Jahresabschluss-Generierung nach HGB, Offenlegungspflichten im Bundesanzeiger, Steuerkalender und Konzernberichterstattung.</w:t>
      </w:r>
    </w:p>
    <w:p>
      <w:pPr>
        <w:spacing w:after="60"/>
      </w:pPr>
      <w:r>
        <w:rPr>
          <w:b/>
          <w:bCs/>
        </w:rPr>
        <w:t xml:space="preserve">Inhalt:</w:t>
      </w:r>
    </w:p>
    <w:p>
      <w:pPr>
        <w:pStyle w:val="ListParagraph"/>
        <w:numPr>
          <w:ilvl w:val="0"/>
          <w:numId w:val="2"/>
        </w:numPr>
      </w:pPr>
      <w:r>
        <w:t xml:space="preserve">Jahresabschluss: Bilanz (266 HGB) und GuV (275 HGB) mit automatischer Generierung</w:t>
      </w:r>
    </w:p>
    <w:p>
      <w:pPr>
        <w:pStyle w:val="ListParagraph"/>
        <w:numPr>
          <w:ilvl w:val="0"/>
          <w:numId w:val="2"/>
        </w:numPr>
      </w:pPr>
      <w:r>
        <w:t xml:space="preserve">Groessenklassen-Automatik (267 HGB) mit Schwellenwert-Warnung</w:t>
      </w:r>
    </w:p>
    <w:p>
      <w:pPr>
        <w:pStyle w:val="ListParagraph"/>
        <w:numPr>
          <w:ilvl w:val="0"/>
          <w:numId w:val="2"/>
        </w:numPr>
      </w:pPr>
      <w:r>
        <w:t xml:space="preserve">E-Bilanz: XBRL-Export mit Taxonomie-Mapping und Ueberleitungsrechnung HB/StB</w:t>
      </w:r>
    </w:p>
    <w:p>
      <w:pPr>
        <w:pStyle w:val="ListParagraph"/>
        <w:numPr>
          <w:ilvl w:val="0"/>
          <w:numId w:val="2"/>
        </w:numPr>
      </w:pPr>
      <w:r>
        <w:t xml:space="preserve">Steuerkalender mit automatischen Frist-Erinnerungen (USt-VA, LSt, KSt/GewSt-Vorauszahlungen)</w:t>
      </w:r>
    </w:p>
    <w:p>
      <w:pPr>
        <w:pStyle w:val="ListParagraph"/>
        <w:numPr>
          <w:ilvl w:val="0"/>
          <w:numId w:val="2"/>
        </w:numPr>
      </w:pPr>
      <w:r>
        <w:t xml:space="preserve">Offenlegungspflichten mit Ordnungsgeld-Warnung</w:t>
      </w:r>
    </w:p>
    <w:p>
      <w:pPr>
        <w:pStyle w:val="ListParagraph"/>
        <w:numPr>
          <w:ilvl w:val="0"/>
          <w:numId w:val="2"/>
        </w:numPr>
      </w:pPr>
      <w:r>
        <w:t xml:space="preserve">Verrechnungspreisdokumentation (Transfer Pricing) fuer IC-Beziehungen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Betriebspruefungs-Readiness (GDPdU, Z3-Zugriff, Verfahrensdokumentation)</w:t>
      </w:r>
    </w:p>
    <w:p>
      <w:pPr>
        <w:pStyle w:val="Heading2"/>
      </w:pPr>
      <w:r>
        <w:t xml:space="preserve">3.4 Dok. 25: Onboarding &amp; Ersteinrichtung</w:t>
      </w:r>
    </w:p>
    <w:p>
      <w:pPr>
        <w:spacing w:after="120"/>
      </w:pPr>
      <w:r>
        <w:rPr>
          <w:b/>
          <w:bCs/>
        </w:rPr>
        <w:t xml:space="preserve">Warum kritisch: </w:t>
      </w:r>
      <w:r>
        <w:t xml:space="preserve">Kein einziges Dokument beschrieb, wie ein neues Unternehmen in Clarity Board eingerichtet wird. Ohne Onboarding-Prozess ist das System nicht einsetzbar. Besonders der Eroeffnungsbilanz-Import und die Go-Live-Checkliste sind essenziell.</w:t>
      </w:r>
    </w:p>
    <w:p>
      <w:pPr>
        <w:spacing w:after="60"/>
      </w:pPr>
      <w:r>
        <w:rPr>
          <w:b/>
          <w:bCs/>
        </w:rPr>
        <w:t xml:space="preserve">Inhalt:</w:t>
      </w:r>
    </w:p>
    <w:p>
      <w:pPr>
        <w:pStyle w:val="ListParagraph"/>
        <w:numPr>
          <w:ilvl w:val="0"/>
          <w:numId w:val="2"/>
        </w:numPr>
      </w:pPr>
      <w:r>
        <w:t xml:space="preserve">8-Phasen-Onboarding (Registrierung bis Go-Live in 5 Werktagen)</w:t>
      </w:r>
    </w:p>
    <w:p>
      <w:pPr>
        <w:pStyle w:val="ListParagraph"/>
        <w:numPr>
          <w:ilvl w:val="0"/>
          <w:numId w:val="2"/>
        </w:numPr>
      </w:pPr>
      <w:r>
        <w:t xml:space="preserve">Eroeffnungsbilanz-Import: 3 Formate (DATEV, CSV/Excel, manuell) mit Validierung</w:t>
      </w:r>
    </w:p>
    <w:p>
      <w:pPr>
        <w:pStyle w:val="ListParagraph"/>
        <w:numPr>
          <w:ilvl w:val="0"/>
          <w:numId w:val="2"/>
        </w:numPr>
      </w:pPr>
      <w:r>
        <w:t xml:space="preserve">Historischer Daten-Import mit Mapping-Assistent</w:t>
      </w:r>
    </w:p>
    <w:p>
      <w:pPr>
        <w:pStyle w:val="ListParagraph"/>
        <w:numPr>
          <w:ilvl w:val="0"/>
          <w:numId w:val="2"/>
        </w:numPr>
      </w:pPr>
      <w:r>
        <w:t xml:space="preserve">Webhook-Konfiguration Schritt fuer Schritt (am Beispiel Stripe)</w:t>
      </w:r>
    </w:p>
    <w:p>
      <w:pPr>
        <w:pStyle w:val="ListParagraph"/>
        <w:numPr>
          <w:ilvl w:val="0"/>
          <w:numId w:val="2"/>
        </w:numPr>
      </w:pPr>
      <w:r>
        <w:t xml:space="preserve">Unterstuetzte Quellsysteme: Stripe, Chargebee, sevDesk, lexoffice, Personio, HubSpot, Salesforce, MOSS, Banking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Go-Live-Checkliste und Post-Go-Live-Plan (erste 30 Tage)</w:t>
      </w:r>
    </w:p>
    <w:p>
      <w:r>
        <w:br w:type="page"/>
      </w:r>
    </w:p>
    <w:p>
      <w:pPr>
        <w:pStyle w:val="Heading1"/>
      </w:pPr>
      <w:r>
        <w:t xml:space="preserve">4. Verbleibende offene Punkte</w:t>
      </w:r>
    </w:p>
    <w:p>
      <w:pPr>
        <w:spacing w:after="200"/>
      </w:pPr>
      <w:r>
        <w:t xml:space="preserve">Folgende Punkte sind nicht kritisch fuer das Fachkonzept-Review, sollten aber vor der technischen Umsetzung geklaert werden: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API-Spezifikation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REST-API-Endpunkte, Versionierung, OpenAPI-Spec fehlen noch komplett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DB-Schema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Postgres-Schema-Design fuer alle Module steht aus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vs. Native nicht entschieden. UI/UX-Dok beschreibt responsive Breakpoints, aber keine Offline-Faehigkeit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Notification-System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Alert-Konfiguration ist dokumentiert, aber Benachrichtigungspraeferenzen pro Benutzer fehlen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DR-Testing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ist beschrieben, aber Testfrequenz und -prozedur fehlen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Mandantenfaehigkeit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Multi-Entity ist dokumentiert, aber echte Mandantentrennung (verschiedene Kunden) vs. Multi-Entity (ein Kunde, mehrere Firmen) nicht explizit differenziert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Pricing/Licensing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Pricing-Modell dokumentiert. Relevant fuer Architekturentscheidungen (Tenant-Isolation)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Daten-Migration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deckt Ersteinrichtung ab, aber Migration von Bestandssystemen (z.B. Excel-basiertes Controlling) nicht im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Empfehlung</w:t>
      </w:r>
    </w:p>
    <w:p>
      <w:pPr>
        <w:spacing w:after="200"/>
      </w:pPr>
      <w:r>
        <w:t xml:space="preserve">Das Fachkonzept ist nach den Erweiterungen in einem soliden Zustand fuer den CFO-Review. Die 26 Dokumente decken alle wesentlichen funktionalen Anforderungen ab: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Finanzen: </w:t>
      </w:r>
      <w:r>
        <w:t xml:space="preserve">KPIs, HGB-Buchhaltung, DATEV-Export, E-Bilanz, Anlagenverwaltung, Steuerkalender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 Flow: </w:t>
      </w:r>
      <w:r>
        <w:t xml:space="preserve">13-Wochen-Forecast, Working Capital, Multi-Waehrung, Hedging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Planung: </w:t>
      </w:r>
      <w:r>
        <w:t xml:space="preserve">Szenarien-Engine, Monte Carlo, Budgetplanung, Sensitivitaetsanalysen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Operativ: </w:t>
      </w:r>
      <w:r>
        <w:t xml:space="preserve">Belegerfassung, MOSS-Integration, KI-Buchungsvorschlaege, Onboarding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Compliance: </w:t>
      </w:r>
      <w:r>
        <w:t xml:space="preserve">GoBD, DSGVO, OWASP, Audit-Logging, Betriebspruefungs-Readiness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Multi-Entity: </w:t>
      </w:r>
      <w:r>
        <w:t xml:space="preserve">Holding, Konsolidierung, Organschaft, Gewinnabfuehrung, Transfer Pricing</w:t>
      </w:r>
    </w:p>
    <w:p>
      <w:pPr>
        <w:spacing w:after="200"/>
      </w:pPr>
      <w:r>
        <w:rPr>
          <w:b/>
          <w:bCs/>
        </w:rPr>
        <w:t xml:space="preserve">Naechste Schritte nach CFO-Freigabe:</w:t>
      </w:r>
    </w:p>
    <w:p>
      <w:pPr>
        <w:pStyle w:val="ListParagraph"/>
        <w:numPr>
          <w:ilvl w:val="0"/>
          <w:numId w:val="3"/>
        </w:numPr>
      </w:pPr>
      <w:r>
        <w:t xml:space="preserve">Offene Punkte aus Abschnitt 4 priorisieren und klaeren</w:t>
      </w:r>
    </w:p>
    <w:p>
      <w:pPr>
        <w:pStyle w:val="ListParagraph"/>
        <w:numPr>
          <w:ilvl w:val="0"/>
          <w:numId w:val="3"/>
        </w:numPr>
      </w:pPr>
      <w:r>
        <w:t xml:space="preserve">Technische Architektur-Dokumente erstellen (DB-Schema, API-Spec, Deployment)</w:t>
      </w:r>
    </w:p>
    <w:p>
      <w:pPr>
        <w:pStyle w:val="ListParagraph"/>
        <w:numPr>
          <w:ilvl w:val="0"/>
          <w:numId w:val="3"/>
        </w:numPr>
      </w:pPr>
      <w:r>
        <w:t xml:space="preserve">MVP-Scope definieren (welche Module in Phase 1?)</w:t>
      </w:r>
    </w:p>
    <w:p>
      <w:pPr>
        <w:pStyle w:val="ListParagraph"/>
        <w:numPr>
          <w:ilvl w:val="0"/>
          <w:numId w:val="3"/>
        </w:numPr>
      </w:pPr>
      <w:r>
        <w:t xml:space="preserve">Entwicklungsteam-Planung und Sprint-Planung starten</w:t>
      </w:r>
    </w:p>
    <w:p>
      <w:pPr>
        <w:spacing w:before="600"/>
      </w:pPr>
    </w:p>
    <w:p>
      <w:pPr>
        <w:pBdr>
          <w:top w:val="single" w:color="1B4F72" w:sz="2" w:space="8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Dokument erstellt am 27.02.2026 | Clarity Board Fachkonzept v1.1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CLARITY BOARD</w:t>
    </w:r>
    <w:r>
      <w:rPr>
        <w:rFonts w:ascii="Arial" w:cs="Arial" w:eastAsia="Arial" w:hAnsi="Arial"/>
        <w:color w:val="999999"/>
        <w:sz w:val="16"/>
        <w:szCs w:val="16"/>
      </w:rPr>
      <w:t xml:space="preserve">  |  Fachkonzept Review Summary  |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2026-02-27T09:54:49.722Z</dcterms:created>
  <dcterms:modified xsi:type="dcterms:W3CDTF">2026-02-27T09:54:49.723Z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