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B5797"/>
          <w:sz w:val="44"/>
          <w:szCs w:val="44"/>
        </w:rPr>
        <w:t xml:space="preserve">FACHLICH-TECHNISCHES KONZEPT</w:t>
      </w:r>
    </w:p>
    <w:p>
      <w:pPr>
        <w:spacing w:after="200"/>
      </w:pPr>
    </w:p>
    <w:p>
      <w:pPr>
        <w:spacing w:after="120"/>
        <w:jc w:val="center"/>
      </w:pPr>
      <w:r>
        <w:rPr>
          <w:rFonts w:ascii="Arial" w:cs="Arial" w:eastAsia="Arial" w:hAnsi="Arial"/>
          <w:color w:val="444444"/>
          <w:sz w:val="32"/>
          <w:szCs w:val="32"/>
        </w:rPr>
        <w:t xml:space="preserve">Erkennung, Klassifikation und Verbuchung</w:t>
      </w:r>
    </w:p>
    <w:p>
      <w:pPr>
        <w:spacing w:after="120"/>
        <w:jc w:val="center"/>
      </w:pPr>
      <w:r>
        <w:rPr>
          <w:rFonts w:ascii="Arial" w:cs="Arial" w:eastAsia="Arial" w:hAnsi="Arial"/>
          <w:color w:val="444444"/>
          <w:sz w:val="32"/>
          <w:szCs w:val="32"/>
        </w:rPr>
        <w:t xml:space="preserve">von Ausgangsrechnungen</w:t>
      </w:r>
    </w:p>
    <w:p>
      <w:pPr>
        <w:spacing w:after="200"/>
      </w:pPr>
    </w:p>
    <w:p>
      <w:pPr>
        <w:spacing w:after="80"/>
        <w:jc w:val="center"/>
      </w:pPr>
      <w:r>
        <w:rPr>
          <w:rFonts w:ascii="Arial" w:cs="Arial" w:eastAsia="Arial" w:hAnsi="Arial"/>
          <w:i/>
          <w:iCs/>
          <w:color w:val="666666"/>
          <w:sz w:val="24"/>
          <w:szCs w:val="24"/>
        </w:rPr>
        <w:t xml:space="preserve">mit periodengerechter Erlosverteilung und Cashflow-Abbildung</w:t>
      </w:r>
    </w:p>
    <w:p>
      <w:pPr>
        <w:spacing w:after="600"/>
      </w:pPr>
    </w:p>
    <w:p>
      <w:pPr>
        <w:pBdr>
          <w:top w:val="single" w:color="2B5797" w:sz="2" w:space="12"/>
        </w:pBdr>
        <w:spacing w:after="60"/>
        <w:jc w:val="center"/>
      </w:pPr>
    </w:p>
    <w:p>
      <w:pPr>
        <w:spacing w:after="60"/>
        <w:jc w:val="center"/>
      </w:pPr>
      <w:r>
        <w:rPr>
          <w:rFonts w:ascii="Arial" w:cs="Arial" w:eastAsia="Arial" w:hAnsi="Arial"/>
          <w:b/>
          <w:bCs/>
          <w:sz w:val="24"/>
          <w:szCs w:val="24"/>
        </w:rPr>
        <w:t xml:space="preserve">aqua cloud GmbH</w:t>
      </w:r>
    </w:p>
    <w:p>
      <w:pPr>
        <w:spacing w:after="60"/>
        <w:jc w:val="center"/>
      </w:pPr>
      <w:r>
        <w:rPr>
          <w:rFonts w:ascii="Arial" w:cs="Arial" w:eastAsia="Arial" w:hAnsi="Arial"/>
          <w:color w:val="666666"/>
          <w:sz w:val="22"/>
          <w:szCs w:val="22"/>
        </w:rPr>
        <w:t xml:space="preserve">Dokumentversion: 1.0</w:t>
      </w:r>
    </w:p>
    <w:p>
      <w:pPr>
        <w:spacing w:after="60"/>
        <w:jc w:val="center"/>
      </w:pPr>
      <w:r>
        <w:rPr>
          <w:rFonts w:ascii="Arial" w:cs="Arial" w:eastAsia="Arial" w:hAnsi="Arial"/>
          <w:color w:val="666666"/>
          <w:sz w:val="22"/>
          <w:szCs w:val="22"/>
        </w:rPr>
        <w:t xml:space="preserve">Stand: 16. Marz 2026</w:t>
      </w:r>
    </w:p>
    <w:p>
      <w:pPr>
        <w:spacing w:after="60"/>
        <w:jc w:val="center"/>
      </w:pPr>
      <w:r>
        <w:rPr>
          <w:rFonts w:ascii="Arial" w:cs="Arial" w:eastAsia="Arial" w:hAnsi="Arial"/>
          <w:color w:val="666666"/>
          <w:sz w:val="22"/>
          <w:szCs w:val="22"/>
        </w:rPr>
        <w:t xml:space="preserve">Status: Entwurf zur Abstimmung</w:t>
      </w:r>
    </w:p>
    <w:p>
      <w:pPr>
        <w:spacing w:after="60"/>
        <w:jc w:val="center"/>
      </w:pPr>
      <w:r>
        <w:rPr>
          <w:rFonts w:ascii="Arial" w:cs="Arial" w:eastAsia="Arial" w:hAnsi="Arial"/>
          <w:color w:val="666666"/>
          <w:sz w:val="22"/>
          <w:szCs w:val="22"/>
        </w:rPr>
        <w:t xml:space="preserve">Datenbasis: 74 Ausgangsrechnungen (Jan-Marz 2026)</w:t>
      </w:r>
    </w:p>
    <w:p>
      <w:pPr>
        <w:sectPr>
          <w:pgSz w:w="11906" w:h="16838" w:orient="portrait"/>
          <w:pgMar w:top="1440" w:right="1440" w:bottom="1440" w:left="1440" w:header="708" w:footer="708" w:gutter="0"/>
          <w:pgNumType/>
          <w:docGrid w:linePitch="360"/>
        </w:sectPr>
      </w:pPr>
    </w:p>
    <w:p>
      <w:pPr>
        <w:pStyle w:val="Heading1"/>
        <w:spacing w:after="120" w:before="360"/>
      </w:pPr>
      <w:r>
        <w:rPr>
          <w:b/>
          <w:bCs/>
        </w:rPr>
        <w:t xml:space="preserve">1. Management Summary</w:t>
      </w:r>
    </w:p>
    <w:p>
      <w:pPr>
        <w:spacing w:after="120"/>
      </w:pPr>
      <w:r>
        <w:rPr>
          <w:rFonts w:ascii="Arial" w:cs="Arial" w:eastAsia="Arial" w:hAnsi="Arial"/>
          <w:sz w:val="22"/>
          <w:szCs w:val="22"/>
        </w:rPr>
        <w:t xml:space="preserve">Die aktuelle Dokumentenverarbeitung ist ausschliesslich auf Eingangsrechnungen ausgelegt. Die 74 analysierten Ausgangsrechnungen der aqua cloud GmbH werden daher fachlich falsch klassifiziert, was zu fehlerhaften Buchungsvorschlagen und einer falschen Erloserfassung fuhrt.</w:t>
      </w:r>
    </w:p>
    <w:p>
      <w:pPr>
        <w:spacing w:after="120"/>
      </w:pPr>
      <w:r>
        <w:rPr>
          <w:rFonts w:ascii="Arial" w:cs="Arial" w:eastAsia="Arial" w:hAnsi="Arial"/>
          <w:sz w:val="22"/>
          <w:szCs w:val="22"/>
        </w:rPr>
        <w:t xml:space="preserve">Das vorliegende Konzept definiert eine konkrete Losung fur die korrekte Erkennung, Klassifikation und Verbuchung von Ausgangsrechnungen. Es adressiert dabei nicht nur die Belegklassifikation, sondern auch die periodengerechte Erlosverteilung bei Lizenzrechnungen mit 12-Monats-Laufzeiten sowie die saubere Trennung von Erloserfassung und Cashflow-Wirkung.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5797" w:sz="1"/>
              <w:left w:val="single" w:color="2B5797" w:sz="6"/>
              <w:bottom w:val="single" w:color="2B5797" w:sz="1"/>
              <w:right w:val="single" w:color="2B5797" w:sz="1"/>
            </w:tcBorders>
            <w:shd w:fill="EBF0F7" w:val="clear"/>
            <w:tcMar>
              <w:top w:type="dxa" w:w="80"/>
              <w:left w:type="dxa" w:w="160"/>
              <w:bottom w:type="dxa" w:w="80"/>
              <w:right w:type="dxa" w:w="120"/>
            </w:tcMar>
          </w:tcPr>
          <w:p>
            <w:pPr>
              <w:spacing w:after="60"/>
            </w:pPr>
            <w:r>
              <w:rPr>
                <w:rFonts w:ascii="Arial" w:cs="Arial" w:eastAsia="Arial" w:hAnsi="Arial"/>
                <w:b/>
                <w:bCs/>
                <w:color w:val="2B5797"/>
                <w:sz w:val="22"/>
                <w:szCs w:val="22"/>
              </w:rPr>
              <w:t xml:space="preserve">Kernproblem</w:t>
            </w:r>
          </w:p>
          <w:p>
            <w:r>
              <w:rPr>
                <w:rFonts w:ascii="Arial" w:cs="Arial" w:eastAsia="Arial" w:hAnsi="Arial"/>
                <w:sz w:val="20"/>
                <w:szCs w:val="20"/>
              </w:rPr>
              <w:t xml:space="preserve">Ausgangsrechnungen werden als Eingangsrechnungen erkannt. Daraus resultieren falsche Buchungsvorschlage (Aufwand statt Erlos), fehlende Erlosabgrenzung und eine verzerrte Cashflow-Darstellung.</w:t>
            </w:r>
          </w:p>
        </w:tc>
      </w:tr>
    </w:tbl>
    <w:p>
      <w:pPr>
        <w:spacing w:after="80"/>
      </w:pPr>
    </w:p>
    <w:p>
      <w:pPr>
        <w:spacing w:after="120"/>
      </w:pPr>
      <w:r>
        <w:rPr>
          <w:rFonts w:ascii="Arial" w:cs="Arial" w:eastAsia="Arial" w:hAnsi="Arial"/>
          <w:b/>
          <w:bCs/>
          <w:sz w:val="22"/>
          <w:szCs w:val="22"/>
        </w:rPr>
        <w:t xml:space="preserve">Empfohlener MVP-Umfang: </w:t>
      </w:r>
      <w:r>
        <w:rPr>
          <w:rFonts w:ascii="Arial" w:cs="Arial" w:eastAsia="Arial" w:hAnsi="Arial"/>
          <w:sz w:val="22"/>
          <w:szCs w:val="22"/>
        </w:rPr>
        <w:t xml:space="preserve">Dokumentklassifikation (Eingang vs. Ausgang), Extraktion der Pflichtfelder inkl. Leistungszeitraum, Buchungsvorschlagslogik mit linearer Erlosverteilung, Cashflow-Trennung. Geschatzter Aufwand: 3-4 Sprints.</w:t>
      </w:r>
    </w:p>
    <w:p>
      <w:pPr>
        <w:pStyle w:val="Heading1"/>
        <w:spacing w:after="120" w:before="360"/>
      </w:pPr>
      <w:r>
        <w:rPr>
          <w:b/>
          <w:bCs/>
        </w:rPr>
        <w:t xml:space="preserve">2. Analyse der aqua-cloud-Rechnungen</w:t>
      </w:r>
    </w:p>
    <w:p>
      <w:pPr>
        <w:pStyle w:val="Heading2"/>
        <w:spacing w:after="120" w:before="240"/>
      </w:pPr>
      <w:r>
        <w:rPr>
          <w:b/>
          <w:bCs/>
        </w:rPr>
        <w:t xml:space="preserve">2.1 Datenbasis</w:t>
      </w:r>
    </w:p>
    <w:p>
      <w:pPr>
        <w:spacing w:after="120"/>
      </w:pPr>
      <w:r>
        <w:rPr>
          <w:rFonts w:ascii="Arial" w:cs="Arial" w:eastAsia="Arial" w:hAnsi="Arial"/>
          <w:sz w:val="22"/>
          <w:szCs w:val="22"/>
        </w:rPr>
        <w:t xml:space="preserve">Analysiert wurden 74 Ausgangsrechnungen mit Rechnungsnummern von 2026400001 bis 2026400074, datiert zwischen Januar und Marz 2026. Alle Rechnungen wurden von der aqua cloud GmbH ausgestellt.</w:t>
      </w:r>
    </w:p>
    <w:p>
      <w:pPr>
        <w:pStyle w:val="Heading2"/>
        <w:spacing w:after="120" w:before="240"/>
      </w:pPr>
      <w:r>
        <w:rPr>
          <w:b/>
          <w:bCs/>
        </w:rPr>
        <w:t xml:space="preserve">2.2 Wiederkehrende Strukturmerkmale</w:t>
      </w:r>
    </w:p>
    <w:p>
      <w:pPr>
        <w:spacing w:after="120"/>
      </w:pPr>
      <w:r>
        <w:rPr>
          <w:rFonts w:ascii="Arial" w:cs="Arial" w:eastAsia="Arial" w:hAnsi="Arial"/>
          <w:sz w:val="22"/>
          <w:szCs w:val="22"/>
        </w:rPr>
        <w:t xml:space="preserve">Alle Rechnungen weisen ein identisches Layout auf, das in zwei Sprachvarianten existiert: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Merkmal</w:t>
            </w:r>
          </w:p>
        </w:tc>
        <w:tc>
          <w:tcPr>
            <w:tcW w:type="dxa" w:w="2913"/>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Deutsche Variante</w:t>
            </w:r>
          </w:p>
        </w:tc>
        <w:tc>
          <w:tcPr>
            <w:tcW w:type="dxa" w:w="2913"/>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Englische Variante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Adressblock-Label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Rechnungsadresse</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 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Rechnungsnummer-Label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Rechnungsnummer</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Datum-Label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Rechnungsdatum</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 Date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Falligkeit-Label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Falligkeitsdatum</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 Date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Bestell-Label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Bestellnummer</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number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Positions-Header</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Artikel &amp; Beschreibung</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Item &amp; 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Steuer-Label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 (19%)</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 / VAT (0%)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Summe-Label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Gesamt</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Gross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Wahrungssymbol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EUR-Zeichen vor Betrag</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USD/EUR-Zeichen vor Betrag</w:t>
            </w:r>
          </w:p>
        </w:tc>
      </w:tr>
    </w:tbl>
    <w:p>
      <w:pPr>
        <w:spacing w:after="120"/>
      </w:pPr>
    </w:p>
    <w:p>
      <w:pPr>
        <w:pStyle w:val="Heading2"/>
        <w:spacing w:after="120" w:before="240"/>
      </w:pPr>
      <w:r>
        <w:rPr>
          <w:b/>
          <w:bCs/>
        </w:rPr>
        <w:t xml:space="preserve">2.3 Identifizierte Signale fur Ausgangsrechnungserkennung</w:t>
      </w:r>
    </w:p>
    <w:p>
      <w:pPr>
        <w:spacing w:after="120"/>
      </w:pPr>
      <w:r>
        <w:rPr>
          <w:rFonts w:ascii="Arial" w:cs="Arial" w:eastAsia="Arial" w:hAnsi="Arial"/>
          <w:sz w:val="22"/>
          <w:szCs w:val="22"/>
        </w:rPr>
        <w:t xml:space="preserve">Folgende Merkmale erlauben eine zuverlassige Unterscheidung zwischen Ausgangs- und Eingangsrechnungen:</w:t>
      </w:r>
    </w:p>
    <w:p>
      <w:pPr>
        <w:pStyle w:val="Heading3"/>
        <w:spacing w:after="120" w:before="240"/>
      </w:pPr>
      <w:r>
        <w:rPr>
          <w:b/>
          <w:bCs/>
        </w:rPr>
        <w:t xml:space="preserve">2.3.1 Primare Erkennungssignale (hart)</w:t>
      </w:r>
    </w:p>
    <w:p>
      <w:pPr>
        <w:pStyle w:val="ListParagraph"/>
        <w:numPr>
          <w:ilvl w:val="0"/>
          <w:numId w:val="2"/>
        </w:numPr>
        <w:spacing w:after="60"/>
      </w:pPr>
      <w:r>
        <w:rPr>
          <w:rFonts w:ascii="Arial" w:cs="Arial" w:eastAsia="Arial" w:hAnsi="Arial"/>
          <w:b/>
          <w:bCs/>
          <w:sz w:val="22"/>
          <w:szCs w:val="22"/>
        </w:rPr>
        <w:t xml:space="preserve">Rechnungssteller = eigene Firma: </w:t>
      </w:r>
      <w:r>
        <w:rPr>
          <w:rFonts w:ascii="Arial" w:cs="Arial" w:eastAsia="Arial" w:hAnsi="Arial"/>
          <w:sz w:val="22"/>
          <w:szCs w:val="22"/>
        </w:rPr>
        <w:t xml:space="preserve">aqua cloud GmbH, Scheidtweilerstr. 4, 50933 Koln. Die UStID-Nr DE321177152, die IBAN DE92 3707 0060 0727 7775 00 und die Steuernummer 223/5851/1437 sind auf allen 74 Rechnungen identisch.</w:t>
      </w:r>
    </w:p>
    <w:p>
      <w:pPr>
        <w:pStyle w:val="ListParagraph"/>
        <w:numPr>
          <w:ilvl w:val="0"/>
          <w:numId w:val="2"/>
        </w:numPr>
        <w:spacing w:after="60"/>
      </w:pPr>
      <w:r>
        <w:rPr>
          <w:rFonts w:ascii="Arial" w:cs="Arial" w:eastAsia="Arial" w:hAnsi="Arial"/>
          <w:b/>
          <w:bCs/>
          <w:sz w:val="22"/>
          <w:szCs w:val="22"/>
        </w:rPr>
        <w:t xml:space="preserve">Firmen-Logo/Header-Block: </w:t>
      </w:r>
      <w:r>
        <w:rPr>
          <w:rFonts w:ascii="Arial" w:cs="Arial" w:eastAsia="Arial" w:hAnsi="Arial"/>
          <w:sz w:val="22"/>
          <w:szCs w:val="22"/>
        </w:rPr>
        <w:t xml:space="preserve">Das aqua-cloud-Logo und der Firmenblock stehen rechts oben. Der Kunde steht links unter 'Rechnungsadresse' bzw. 'Invoice To'.</w:t>
      </w:r>
    </w:p>
    <w:p>
      <w:pPr>
        <w:pStyle w:val="ListParagraph"/>
        <w:numPr>
          <w:ilvl w:val="0"/>
          <w:numId w:val="2"/>
        </w:numPr>
        <w:spacing w:after="60"/>
      </w:pPr>
      <w:r>
        <w:rPr>
          <w:rFonts w:ascii="Arial" w:cs="Arial" w:eastAsia="Arial" w:hAnsi="Arial"/>
          <w:b/>
          <w:bCs/>
          <w:sz w:val="22"/>
          <w:szCs w:val="22"/>
        </w:rPr>
        <w:t xml:space="preserve">IBAN/BIC des Ausstellers: </w:t>
      </w:r>
      <w:r>
        <w:rPr>
          <w:rFonts w:ascii="Arial" w:cs="Arial" w:eastAsia="Arial" w:hAnsi="Arial"/>
          <w:sz w:val="22"/>
          <w:szCs w:val="22"/>
        </w:rPr>
        <w:t xml:space="preserve">Die Bankverbindung (Deutsche Bank Koln) gehort zur eigenen Firma, nicht zum Lieferanten. Bei Eingangsrechnungen steht dort die Bank des Lieferanten.</w:t>
      </w:r>
    </w:p>
    <w:p>
      <w:pPr>
        <w:pStyle w:val="Heading3"/>
        <w:spacing w:after="120" w:before="240"/>
      </w:pPr>
      <w:r>
        <w:rPr>
          <w:b/>
          <w:bCs/>
        </w:rPr>
        <w:t xml:space="preserve">2.3.2 Sekundare Erkennungssignale (weich)</w:t>
      </w:r>
    </w:p>
    <w:p>
      <w:pPr>
        <w:pStyle w:val="ListParagraph"/>
        <w:numPr>
          <w:ilvl w:val="0"/>
          <w:numId w:val="3"/>
        </w:numPr>
        <w:spacing w:after="60"/>
      </w:pPr>
      <w:r>
        <w:rPr>
          <w:rFonts w:ascii="Arial" w:cs="Arial" w:eastAsia="Arial" w:hAnsi="Arial"/>
          <w:b/>
          <w:bCs/>
          <w:sz w:val="22"/>
          <w:szCs w:val="22"/>
        </w:rPr>
        <w:t xml:space="preserve">Produktnamen: </w:t>
      </w:r>
      <w:r>
        <w:rPr>
          <w:rFonts w:ascii="Arial" w:cs="Arial" w:eastAsia="Arial" w:hAnsi="Arial"/>
          <w:sz w:val="22"/>
          <w:szCs w:val="22"/>
        </w:rPr>
        <w:t xml:space="preserve">Alle Positionen beginnen mit 'aqua' (z.B. 'aqua Rent Concurrent Pro', 'aqua Suite (cloud)', 'aqua Private Cloud'). Dies sind eigene Produkte, keine Fremdleistungen.</w:t>
      </w:r>
    </w:p>
    <w:p>
      <w:pPr>
        <w:pStyle w:val="ListParagraph"/>
        <w:numPr>
          <w:ilvl w:val="0"/>
          <w:numId w:val="3"/>
        </w:numPr>
        <w:spacing w:after="60"/>
      </w:pPr>
      <w:r>
        <w:rPr>
          <w:rFonts w:ascii="Arial" w:cs="Arial" w:eastAsia="Arial" w:hAnsi="Arial"/>
          <w:b/>
          <w:bCs/>
          <w:sz w:val="22"/>
          <w:szCs w:val="22"/>
        </w:rPr>
        <w:t xml:space="preserve">Typische Formulierungen: </w:t>
      </w:r>
      <w:r>
        <w:rPr>
          <w:rFonts w:ascii="Arial" w:cs="Arial" w:eastAsia="Arial" w:hAnsi="Arial"/>
          <w:sz w:val="22"/>
          <w:szCs w:val="22"/>
        </w:rPr>
        <w:t xml:space="preserve">'Kosten pro Lizenz und Jahr', 'aqua als Mietlosung (On Premises)', 'Wartung &amp; Support inklusive', 'Inklusive Bereitstellung, Wartung &amp; Support' deuten auf Eigenproduktverkauf hin.</w:t>
      </w:r>
    </w:p>
    <w:p>
      <w:pPr>
        <w:pStyle w:val="ListParagraph"/>
        <w:numPr>
          <w:ilvl w:val="0"/>
          <w:numId w:val="3"/>
        </w:numPr>
        <w:spacing w:after="60"/>
      </w:pPr>
      <w:r>
        <w:rPr>
          <w:rFonts w:ascii="Arial" w:cs="Arial" w:eastAsia="Arial" w:hAnsi="Arial"/>
          <w:b/>
          <w:bCs/>
          <w:sz w:val="22"/>
          <w:szCs w:val="22"/>
        </w:rPr>
        <w:t xml:space="preserve">Reverse-Charge-Hinweise: </w:t>
      </w:r>
      <w:r>
        <w:rPr>
          <w:rFonts w:ascii="Arial" w:cs="Arial" w:eastAsia="Arial" w:hAnsi="Arial"/>
          <w:sz w:val="22"/>
          <w:szCs w:val="22"/>
        </w:rPr>
        <w:t xml:space="preserve">'Tax liability of the service recipient according to Paragraph 13b USTG' bzw. 'Steuerschuldnerschaft des Leistungsempfangers nach Paragraph 13b USTG' deuten darauf hin, dass aqua cloud der Leistungserbringer ist.</w:t>
      </w:r>
    </w:p>
    <w:p>
      <w:pPr>
        <w:pStyle w:val="ListParagraph"/>
        <w:numPr>
          <w:ilvl w:val="0"/>
          <w:numId w:val="3"/>
        </w:numPr>
        <w:spacing w:after="60"/>
      </w:pPr>
      <w:r>
        <w:rPr>
          <w:rFonts w:ascii="Arial" w:cs="Arial" w:eastAsia="Arial" w:hAnsi="Arial"/>
          <w:b/>
          <w:bCs/>
          <w:sz w:val="22"/>
          <w:szCs w:val="22"/>
        </w:rPr>
        <w:t xml:space="preserve">Kontaktdaten: </w:t>
      </w:r>
      <w:r>
        <w:rPr>
          <w:rFonts w:ascii="Arial" w:cs="Arial" w:eastAsia="Arial" w:hAnsi="Arial"/>
          <w:sz w:val="22"/>
          <w:szCs w:val="22"/>
        </w:rPr>
        <w:t xml:space="preserve">Finance: invoice@aqua-cloud.io, Sales: sales@aqua-cloud.io zeigen den Aussteller als Absender.</w:t>
      </w:r>
    </w:p>
    <w:p>
      <w:pPr>
        <w:pStyle w:val="Heading2"/>
        <w:spacing w:after="120" w:before="240"/>
      </w:pPr>
      <w:r>
        <w:rPr>
          <w:b/>
          <w:bCs/>
        </w:rPr>
        <w:t xml:space="preserve">2.4 Identifizierte Positionstypen und Leistungszeitraume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Positionstyp</w:t>
            </w:r>
          </w:p>
        </w:tc>
        <w:tc>
          <w:tcPr>
            <w:tcW w:type="dxa" w:w="1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Typische Laufzeit</w:t>
            </w:r>
          </w:p>
        </w:tc>
        <w:tc>
          <w:tcPr>
            <w:tcW w:type="dxa" w:w="1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Abrechnungsart</w:t>
            </w:r>
          </w:p>
        </w:tc>
        <w:tc>
          <w:tcPr>
            <w:tcW w:type="dxa" w:w="36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Beispiel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SaaS-Lizenz (Cloud)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Monate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Jahrlich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Suite (cloud), aqua Scout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On-Premises-Mietlizenz</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Monate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Jahrlich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Rent Concurrent Pro, Named ALM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Private-Cloud-Hosting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Monate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Jahrlich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Private Cloud (Azure)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M&amp;S-Vertrage (Ranorex)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Monate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Jahrlich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M&amp;S Concurrent Ranorex Enterprise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Monats-Abonnement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Monat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Monatlich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Suite - Monthly subscription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Einmalleistung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 Zeitraum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Einmalig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Starter Kit (2 days)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Staffelrabatt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Laufzeit der Hauptpos.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Jahrlich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Staffelrabatt (negativer Betrag)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Gratisposition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wie Hauptposition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Jahrlich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Guest License (0,00 EUR)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Teilzeitraum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12 Monate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Anteilig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Leistungszeitraum 6 Monate</w:t>
            </w:r>
          </w:p>
        </w:tc>
      </w:tr>
    </w:tbl>
    <w:p>
      <w:pPr>
        <w:spacing w:after="120"/>
      </w:pPr>
    </w:p>
    <w:p>
      <w:pPr>
        <w:pStyle w:val="Heading2"/>
        <w:spacing w:after="120" w:before="240"/>
      </w:pPr>
      <w:r>
        <w:rPr>
          <w:b/>
          <w:bCs/>
        </w:rPr>
        <w:t xml:space="preserve">2.5 Leistungszeitraum-Formate</w:t>
      </w:r>
    </w:p>
    <w:p>
      <w:pPr>
        <w:spacing w:after="120"/>
      </w:pPr>
      <w:r>
        <w:rPr>
          <w:rFonts w:ascii="Arial" w:cs="Arial" w:eastAsia="Arial" w:hAnsi="Arial"/>
          <w:sz w:val="22"/>
          <w:szCs w:val="22"/>
        </w:rPr>
        <w:t xml:space="preserve">Der Leistungszeitraum wird in den Rechnungen in verschiedenen Formaten angegeben:</w:t>
      </w:r>
    </w:p>
    <w:p>
      <w:pPr>
        <w:pStyle w:val="ListParagraph"/>
        <w:numPr>
          <w:ilvl w:val="0"/>
          <w:numId w:val="4"/>
        </w:numPr>
        <w:spacing w:after="60"/>
      </w:pPr>
      <w:r>
        <w:rPr>
          <w:rFonts w:ascii="Arial" w:cs="Arial" w:eastAsia="Arial" w:hAnsi="Arial"/>
          <w:b/>
          <w:bCs/>
          <w:sz w:val="22"/>
          <w:szCs w:val="22"/>
        </w:rPr>
        <w:t xml:space="preserve">Deutsch: </w:t>
      </w:r>
      <w:r>
        <w:rPr>
          <w:rFonts w:ascii="Arial" w:cs="Arial" w:eastAsia="Arial" w:hAnsi="Arial"/>
          <w:sz w:val="22"/>
          <w:szCs w:val="22"/>
        </w:rPr>
        <w:t xml:space="preserve">'Laufzeit: 01.02.2026 - 31.01.2027' oder 'Leistungszeitraum: 2026-01-01 - 2026-12-31'</w:t>
      </w:r>
    </w:p>
    <w:p>
      <w:pPr>
        <w:pStyle w:val="ListParagraph"/>
        <w:numPr>
          <w:ilvl w:val="0"/>
          <w:numId w:val="4"/>
        </w:numPr>
        <w:spacing w:after="60"/>
      </w:pPr>
      <w:r>
        <w:rPr>
          <w:rFonts w:ascii="Arial" w:cs="Arial" w:eastAsia="Arial" w:hAnsi="Arial"/>
          <w:b/>
          <w:bCs/>
          <w:sz w:val="22"/>
          <w:szCs w:val="22"/>
        </w:rPr>
        <w:t xml:space="preserve">Englisch: </w:t>
      </w:r>
      <w:r>
        <w:rPr>
          <w:rFonts w:ascii="Arial" w:cs="Arial" w:eastAsia="Arial" w:hAnsi="Arial"/>
          <w:sz w:val="22"/>
          <w:szCs w:val="22"/>
        </w:rPr>
        <w:t xml:space="preserve">'Service period: 2026-03-11 - 2027-03-10'</w:t>
      </w:r>
    </w:p>
    <w:p>
      <w:pPr>
        <w:pStyle w:val="ListParagraph"/>
        <w:numPr>
          <w:ilvl w:val="0"/>
          <w:numId w:val="4"/>
        </w:numPr>
        <w:spacing w:after="60"/>
      </w:pPr>
      <w:r>
        <w:rPr>
          <w:rFonts w:ascii="Arial" w:cs="Arial" w:eastAsia="Arial" w:hAnsi="Arial"/>
          <w:b/>
          <w:bCs/>
          <w:sz w:val="22"/>
          <w:szCs w:val="22"/>
        </w:rPr>
        <w:t xml:space="preserve">Implizit: </w:t>
      </w:r>
      <w:r>
        <w:rPr>
          <w:rFonts w:ascii="Arial" w:cs="Arial" w:eastAsia="Arial" w:hAnsi="Arial"/>
          <w:sz w:val="22"/>
          <w:szCs w:val="22"/>
        </w:rPr>
        <w:t xml:space="preserve">'Laufzeit 12 Monate' (ohne konkretes Datum)</w:t>
      </w:r>
    </w:p>
    <w:p>
      <w:pPr>
        <w:pStyle w:val="ListParagraph"/>
        <w:numPr>
          <w:ilvl w:val="0"/>
          <w:numId w:val="4"/>
        </w:numPr>
        <w:spacing w:after="60"/>
      </w:pPr>
      <w:r>
        <w:rPr>
          <w:rFonts w:ascii="Arial" w:cs="Arial" w:eastAsia="Arial" w:hAnsi="Arial"/>
          <w:b/>
          <w:bCs/>
          <w:sz w:val="22"/>
          <w:szCs w:val="22"/>
        </w:rPr>
        <w:t xml:space="preserve">Lieferdatum: </w:t>
      </w:r>
      <w:r>
        <w:rPr>
          <w:rFonts w:ascii="Arial" w:cs="Arial" w:eastAsia="Arial" w:hAnsi="Arial"/>
          <w:sz w:val="22"/>
          <w:szCs w:val="22"/>
        </w:rPr>
        <w:t xml:space="preserve">'Delivery date: 2026-03-12' oder 'Liefertermin: 01.03.2026' bei Einmalleistungen</w:t>
      </w:r>
    </w:p>
    <w:p>
      <w:pPr>
        <w:pStyle w:val="ListParagraph"/>
        <w:numPr>
          <w:ilvl w:val="0"/>
          <w:numId w:val="4"/>
        </w:numPr>
        <w:spacing w:after="60"/>
      </w:pPr>
      <w:r>
        <w:rPr>
          <w:rFonts w:ascii="Arial" w:cs="Arial" w:eastAsia="Arial" w:hAnsi="Arial"/>
          <w:b/>
          <w:bCs/>
          <w:sz w:val="22"/>
          <w:szCs w:val="22"/>
        </w:rPr>
        <w:t xml:space="preserve">Fehlend: </w:t>
      </w:r>
      <w:r>
        <w:rPr>
          <w:rFonts w:ascii="Arial" w:cs="Arial" w:eastAsia="Arial" w:hAnsi="Arial"/>
          <w:sz w:val="22"/>
          <w:szCs w:val="22"/>
        </w:rPr>
        <w:t xml:space="preserve">Bei Monatsabonnements teilweise kein expliziter Leistungszeitraum (z.B. Invoice 2026400005)</w:t>
      </w:r>
    </w:p>
    <w:p>
      <w:pPr>
        <w:pStyle w:val="Heading2"/>
        <w:spacing w:after="120" w:before="240"/>
      </w:pPr>
      <w:r>
        <w:rPr>
          <w:b/>
          <w:bCs/>
        </w:rPr>
        <w:t xml:space="preserve">2.6 Steuerliche Varianten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Szenario</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MwSt-Satz</w:t>
            </w:r>
          </w:p>
        </w:tc>
        <w:tc>
          <w:tcPr>
            <w:tcW w:type="dxa" w:w="50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Hinweis auf Rechnung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Inlandskunde (DE)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 (19%) + Betrag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EU-Ausland (z.B. 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Steuerschuldnerschaft nach Par. 13b UStG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Drittland (z.B. USA)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Tax liability according to Par. 13b USTG / VAT due do the recipient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Offentl. Auftraggeber (DE, ohne USt-ID)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Standard-Inlandsbesteuerung</w:t>
            </w:r>
          </w:p>
        </w:tc>
      </w:tr>
    </w:tbl>
    <w:p>
      <w:pPr>
        <w:spacing w:after="120"/>
      </w:pPr>
    </w:p>
    <w:p>
      <w:pPr>
        <w:pStyle w:val="Heading1"/>
        <w:spacing w:after="120" w:before="360"/>
      </w:pPr>
      <w:r>
        <w:rPr>
          <w:b/>
          <w:bCs/>
        </w:rPr>
        <w:t xml:space="preserve">3. Soll-Prozess fur Ausgangsrechnungen</w:t>
      </w:r>
    </w:p>
    <w:p>
      <w:pPr>
        <w:pStyle w:val="Heading2"/>
        <w:spacing w:after="120" w:before="240"/>
      </w:pPr>
      <w:r>
        <w:rPr>
          <w:b/>
          <w:bCs/>
        </w:rPr>
        <w:t xml:space="preserve">3.1 Uberblick Verarbeitungspipeline</w:t>
      </w:r>
    </w:p>
    <w:p>
      <w:pPr>
        <w:spacing w:after="120"/>
      </w:pPr>
      <w:r>
        <w:rPr>
          <w:rFonts w:ascii="Arial" w:cs="Arial" w:eastAsia="Arial" w:hAnsi="Arial"/>
          <w:sz w:val="22"/>
          <w:szCs w:val="22"/>
        </w:rPr>
        <w:t xml:space="preserve">Der bestehende Dokumentenprozess (OCR/Vision -&gt; AI-Extraktion -&gt; Validierung -&gt; Buchungsvorschlag -&gt; Review) wird um eine vorgelagerte Klassifikationsstufe und eine nachgelagerte Erlosverteilungslogik erweitert:</w:t>
      </w:r>
    </w:p>
    <w:p>
      <w:pPr>
        <w:pStyle w:val="ListParagraph"/>
        <w:numPr>
          <w:ilvl w:val="0"/>
          <w:numId w:val="5"/>
        </w:numPr>
        <w:spacing w:after="60"/>
      </w:pPr>
      <w:r>
        <w:rPr>
          <w:rFonts w:ascii="Arial" w:cs="Arial" w:eastAsia="Arial" w:hAnsi="Arial"/>
          <w:b/>
          <w:bCs/>
          <w:sz w:val="22"/>
          <w:szCs w:val="22"/>
        </w:rPr>
        <w:t xml:space="preserve">Dokumenteingang: </w:t>
      </w:r>
      <w:r>
        <w:rPr>
          <w:rFonts w:ascii="Arial" w:cs="Arial" w:eastAsia="Arial" w:hAnsi="Arial"/>
          <w:sz w:val="22"/>
          <w:szCs w:val="22"/>
        </w:rPr>
        <w:t xml:space="preserve">PDF-Upload (unverandert)</w:t>
      </w:r>
    </w:p>
    <w:p>
      <w:pPr>
        <w:pStyle w:val="ListParagraph"/>
        <w:numPr>
          <w:ilvl w:val="0"/>
          <w:numId w:val="5"/>
        </w:numPr>
        <w:spacing w:after="60"/>
      </w:pPr>
      <w:r>
        <w:rPr>
          <w:rFonts w:ascii="Arial" w:cs="Arial" w:eastAsia="Arial" w:hAnsi="Arial"/>
          <w:b/>
          <w:bCs/>
          <w:sz w:val="22"/>
          <w:szCs w:val="22"/>
        </w:rPr>
        <w:t xml:space="preserve">OCR/Vision-Extraktion: </w:t>
      </w:r>
      <w:r>
        <w:rPr>
          <w:rFonts w:ascii="Arial" w:cs="Arial" w:eastAsia="Arial" w:hAnsi="Arial"/>
          <w:sz w:val="22"/>
          <w:szCs w:val="22"/>
        </w:rPr>
        <w:t xml:space="preserve">Texterkennung (unverandert)</w:t>
      </w:r>
    </w:p>
    <w:p>
      <w:pPr>
        <w:pStyle w:val="ListParagraph"/>
        <w:numPr>
          <w:ilvl w:val="0"/>
          <w:numId w:val="5"/>
        </w:numPr>
        <w:spacing w:after="60"/>
      </w:pPr>
      <w:r>
        <w:rPr>
          <w:rFonts w:ascii="Arial" w:cs="Arial" w:eastAsia="Arial" w:hAnsi="Arial"/>
          <w:b/>
          <w:bCs/>
          <w:color w:val="C00000"/>
          <w:sz w:val="22"/>
          <w:szCs w:val="22"/>
        </w:rPr>
        <w:t xml:space="preserve">NEU - Dokumentklassifikation: </w:t>
      </w:r>
      <w:r>
        <w:rPr>
          <w:rFonts w:ascii="Arial" w:cs="Arial" w:eastAsia="Arial" w:hAnsi="Arial"/>
          <w:sz w:val="22"/>
          <w:szCs w:val="22"/>
        </w:rPr>
        <w:t xml:space="preserve">Eingangsrechnung vs. Ausgangsrechnung vs. Gutschrift</w:t>
      </w:r>
    </w:p>
    <w:p>
      <w:pPr>
        <w:pStyle w:val="ListParagraph"/>
        <w:numPr>
          <w:ilvl w:val="0"/>
          <w:numId w:val="5"/>
        </w:numPr>
        <w:spacing w:after="60"/>
      </w:pPr>
      <w:r>
        <w:rPr>
          <w:rFonts w:ascii="Arial" w:cs="Arial" w:eastAsia="Arial" w:hAnsi="Arial"/>
          <w:b/>
          <w:bCs/>
          <w:sz w:val="22"/>
          <w:szCs w:val="22"/>
        </w:rPr>
        <w:t xml:space="preserve">AI-Datenextraktion: </w:t>
      </w:r>
      <w:r>
        <w:rPr>
          <w:rFonts w:ascii="Arial" w:cs="Arial" w:eastAsia="Arial" w:hAnsi="Arial"/>
          <w:sz w:val="22"/>
          <w:szCs w:val="22"/>
        </w:rPr>
        <w:t xml:space="preserve">Angepasst je nach Dokumenttyp (neue Felder fur Ausgangsrechnungen)</w:t>
      </w:r>
    </w:p>
    <w:p>
      <w:pPr>
        <w:pStyle w:val="ListParagraph"/>
        <w:numPr>
          <w:ilvl w:val="0"/>
          <w:numId w:val="5"/>
        </w:numPr>
        <w:spacing w:after="60"/>
      </w:pPr>
      <w:r>
        <w:rPr>
          <w:rFonts w:ascii="Arial" w:cs="Arial" w:eastAsia="Arial" w:hAnsi="Arial"/>
          <w:b/>
          <w:bCs/>
          <w:sz w:val="22"/>
          <w:szCs w:val="22"/>
        </w:rPr>
        <w:t xml:space="preserve">Validierung: </w:t>
      </w:r>
      <w:r>
        <w:rPr>
          <w:rFonts w:ascii="Arial" w:cs="Arial" w:eastAsia="Arial" w:hAnsi="Arial"/>
          <w:sz w:val="22"/>
          <w:szCs w:val="22"/>
        </w:rPr>
        <w:t xml:space="preserve">Erweiterte Plausibilitatsprufungen (Leistungszeitraum, Betrage)</w:t>
      </w:r>
    </w:p>
    <w:p>
      <w:pPr>
        <w:pStyle w:val="ListParagraph"/>
        <w:numPr>
          <w:ilvl w:val="0"/>
          <w:numId w:val="5"/>
        </w:numPr>
        <w:spacing w:after="60"/>
      </w:pPr>
      <w:r>
        <w:rPr>
          <w:rFonts w:ascii="Arial" w:cs="Arial" w:eastAsia="Arial" w:hAnsi="Arial"/>
          <w:b/>
          <w:bCs/>
          <w:color w:val="C00000"/>
          <w:sz w:val="22"/>
          <w:szCs w:val="22"/>
        </w:rPr>
        <w:t xml:space="preserve">NEU - Buchungsvorschlag mit Erlosverteilung: </w:t>
      </w:r>
      <w:r>
        <w:rPr>
          <w:rFonts w:ascii="Arial" w:cs="Arial" w:eastAsia="Arial" w:hAnsi="Arial"/>
          <w:sz w:val="22"/>
          <w:szCs w:val="22"/>
        </w:rPr>
        <w:t xml:space="preserve">Periodische Aufteilung bei Laufzeiten &gt; 1 Monat</w:t>
      </w:r>
    </w:p>
    <w:p>
      <w:pPr>
        <w:pStyle w:val="ListParagraph"/>
        <w:numPr>
          <w:ilvl w:val="0"/>
          <w:numId w:val="5"/>
        </w:numPr>
        <w:spacing w:after="60"/>
      </w:pPr>
      <w:r>
        <w:rPr>
          <w:rFonts w:ascii="Arial" w:cs="Arial" w:eastAsia="Arial" w:hAnsi="Arial"/>
          <w:b/>
          <w:bCs/>
          <w:color w:val="C00000"/>
          <w:sz w:val="22"/>
          <w:szCs w:val="22"/>
        </w:rPr>
        <w:t xml:space="preserve">NEU - Cashflow-Buchung: </w:t>
      </w:r>
      <w:r>
        <w:rPr>
          <w:rFonts w:ascii="Arial" w:cs="Arial" w:eastAsia="Arial" w:hAnsi="Arial"/>
          <w:sz w:val="22"/>
          <w:szCs w:val="22"/>
        </w:rPr>
        <w:t xml:space="preserve">Separate Erfassung des Zahlungszuflusses</w:t>
      </w:r>
    </w:p>
    <w:p>
      <w:pPr>
        <w:pStyle w:val="ListParagraph"/>
        <w:numPr>
          <w:ilvl w:val="0"/>
          <w:numId w:val="5"/>
        </w:numPr>
        <w:spacing w:after="60"/>
      </w:pPr>
      <w:r>
        <w:rPr>
          <w:rFonts w:ascii="Arial" w:cs="Arial" w:eastAsia="Arial" w:hAnsi="Arial"/>
          <w:b/>
          <w:bCs/>
          <w:sz w:val="22"/>
          <w:szCs w:val="22"/>
        </w:rPr>
        <w:t xml:space="preserve">Review/Freigabe: </w:t>
      </w:r>
      <w:r>
        <w:rPr>
          <w:rFonts w:ascii="Arial" w:cs="Arial" w:eastAsia="Arial" w:hAnsi="Arial"/>
          <w:sz w:val="22"/>
          <w:szCs w:val="22"/>
        </w:rPr>
        <w:t xml:space="preserve">Erweiterte Review-Grunde</w:t>
      </w:r>
    </w:p>
    <w:p>
      <w:pPr>
        <w:spacing w:after="80"/>
      </w:pPr>
    </w:p>
    <w:p>
      <w:pPr>
        <w:pStyle w:val="Heading2"/>
        <w:spacing w:after="120" w:before="240"/>
      </w:pPr>
      <w:r>
        <w:rPr>
          <w:b/>
          <w:bCs/>
        </w:rPr>
        <w:t xml:space="preserve">3.2 Erwartete Ergebnisse nach Verarbeitung</w:t>
      </w:r>
    </w:p>
    <w:p>
      <w:pPr>
        <w:spacing w:after="120"/>
      </w:pPr>
      <w:r>
        <w:rPr>
          <w:rFonts w:ascii="Arial" w:cs="Arial" w:eastAsia="Arial" w:hAnsi="Arial"/>
          <w:sz w:val="22"/>
          <w:szCs w:val="22"/>
        </w:rPr>
        <w:t xml:space="preserve">Nach erfolgreicher Verarbeitung einer Ausgangsrechnung muss das System folgende Ergebnisse liefern:</w:t>
      </w:r>
    </w:p>
    <w:p>
      <w:pPr>
        <w:pStyle w:val="ListParagraph"/>
        <w:numPr>
          <w:ilvl w:val="0"/>
          <w:numId w:val="6"/>
        </w:numPr>
        <w:spacing w:after="60"/>
      </w:pPr>
      <w:r>
        <w:rPr>
          <w:rFonts w:ascii="Arial" w:cs="Arial" w:eastAsia="Arial" w:hAnsi="Arial"/>
          <w:b/>
          <w:bCs/>
          <w:sz w:val="22"/>
          <w:szCs w:val="22"/>
        </w:rPr>
        <w:t xml:space="preserve">Klassifikation: </w:t>
      </w:r>
      <w:r>
        <w:rPr>
          <w:rFonts w:ascii="Arial" w:cs="Arial" w:eastAsia="Arial" w:hAnsi="Arial"/>
          <w:sz w:val="22"/>
          <w:szCs w:val="22"/>
        </w:rPr>
        <w:t xml:space="preserve">Typ = OUTGOING_INVOICE mit Confidence-Score</w:t>
      </w:r>
    </w:p>
    <w:p>
      <w:pPr>
        <w:pStyle w:val="ListParagraph"/>
        <w:numPr>
          <w:ilvl w:val="0"/>
          <w:numId w:val="6"/>
        </w:numPr>
        <w:spacing w:after="60"/>
      </w:pPr>
      <w:r>
        <w:rPr>
          <w:rFonts w:ascii="Arial" w:cs="Arial" w:eastAsia="Arial" w:hAnsi="Arial"/>
          <w:b/>
          <w:bCs/>
          <w:sz w:val="22"/>
          <w:szCs w:val="22"/>
        </w:rPr>
        <w:t xml:space="preserve">Extrahierte Stammdaten: </w:t>
      </w:r>
      <w:r>
        <w:rPr>
          <w:rFonts w:ascii="Arial" w:cs="Arial" w:eastAsia="Arial" w:hAnsi="Arial"/>
          <w:sz w:val="22"/>
          <w:szCs w:val="22"/>
        </w:rPr>
        <w:t xml:space="preserve">Rechnungsnummer, Datum, Falligkeit, Kunde, Bestellnummer, Gesamtbetrag, Wahrung, Steuerinfo</w:t>
      </w:r>
    </w:p>
    <w:p>
      <w:pPr>
        <w:pStyle w:val="ListParagraph"/>
        <w:numPr>
          <w:ilvl w:val="0"/>
          <w:numId w:val="6"/>
        </w:numPr>
        <w:spacing w:after="60"/>
      </w:pPr>
      <w:r>
        <w:rPr>
          <w:rFonts w:ascii="Arial" w:cs="Arial" w:eastAsia="Arial" w:hAnsi="Arial"/>
          <w:b/>
          <w:bCs/>
          <w:sz w:val="22"/>
          <w:szCs w:val="22"/>
        </w:rPr>
        <w:t xml:space="preserve">Extrahierte Positionen: </w:t>
      </w:r>
      <w:r>
        <w:rPr>
          <w:rFonts w:ascii="Arial" w:cs="Arial" w:eastAsia="Arial" w:hAnsi="Arial"/>
          <w:sz w:val="22"/>
          <w:szCs w:val="22"/>
        </w:rPr>
        <w:t xml:space="preserve">Pro Position: Produktname, Menge, Einzelpreis, Betrag, Leistungszeitraum (von/bis), Lizenztyp, Abrechnungsintervall</w:t>
      </w:r>
    </w:p>
    <w:p>
      <w:pPr>
        <w:pStyle w:val="ListParagraph"/>
        <w:numPr>
          <w:ilvl w:val="0"/>
          <w:numId w:val="6"/>
        </w:numPr>
        <w:spacing w:after="60"/>
      </w:pPr>
      <w:r>
        <w:rPr>
          <w:rFonts w:ascii="Arial" w:cs="Arial" w:eastAsia="Arial" w:hAnsi="Arial"/>
          <w:b/>
          <w:bCs/>
          <w:sz w:val="22"/>
          <w:szCs w:val="22"/>
        </w:rPr>
        <w:t xml:space="preserve">Buchungsvorschlag (Erlos): </w:t>
      </w:r>
      <w:r>
        <w:rPr>
          <w:rFonts w:ascii="Arial" w:cs="Arial" w:eastAsia="Arial" w:hAnsi="Arial"/>
          <w:sz w:val="22"/>
          <w:szCs w:val="22"/>
        </w:rPr>
        <w:t xml:space="preserve">Aufgeteilt in monatliche Erlosbuchungen (Soll: Forderungen, Haben: Erlose aus Lizenzen), ggf. mit passiver Rechnungsabgrenzung</w:t>
      </w:r>
    </w:p>
    <w:p>
      <w:pPr>
        <w:pStyle w:val="ListParagraph"/>
        <w:numPr>
          <w:ilvl w:val="0"/>
          <w:numId w:val="6"/>
        </w:numPr>
        <w:spacing w:after="60"/>
      </w:pPr>
      <w:r>
        <w:rPr>
          <w:rFonts w:ascii="Arial" w:cs="Arial" w:eastAsia="Arial" w:hAnsi="Arial"/>
          <w:b/>
          <w:bCs/>
          <w:sz w:val="22"/>
          <w:szCs w:val="22"/>
        </w:rPr>
        <w:t xml:space="preserve">Buchungsvorschlag (Cashflow): </w:t>
      </w:r>
      <w:r>
        <w:rPr>
          <w:rFonts w:ascii="Arial" w:cs="Arial" w:eastAsia="Arial" w:hAnsi="Arial"/>
          <w:sz w:val="22"/>
          <w:szCs w:val="22"/>
        </w:rPr>
        <w:t xml:space="preserve">Einmaliger Zahlungszufluss zum Falligkeitsdatum (Soll: Bank, Haben: Forderungen)</w:t>
      </w:r>
    </w:p>
    <w:p>
      <w:pPr>
        <w:pStyle w:val="ListParagraph"/>
        <w:numPr>
          <w:ilvl w:val="0"/>
          <w:numId w:val="6"/>
        </w:numPr>
        <w:spacing w:after="60"/>
      </w:pPr>
      <w:r>
        <w:rPr>
          <w:rFonts w:ascii="Arial" w:cs="Arial" w:eastAsia="Arial" w:hAnsi="Arial"/>
          <w:b/>
          <w:bCs/>
          <w:sz w:val="22"/>
          <w:szCs w:val="22"/>
        </w:rPr>
        <w:t xml:space="preserve">Review-Status: </w:t>
      </w:r>
      <w:r>
        <w:rPr>
          <w:rFonts w:ascii="Arial" w:cs="Arial" w:eastAsia="Arial" w:hAnsi="Arial"/>
          <w:sz w:val="22"/>
          <w:szCs w:val="22"/>
        </w:rPr>
        <w:t xml:space="preserve">AUTO_APPROVED oder REVIEW_REQUIRED mit Begrundung</w:t>
      </w:r>
    </w:p>
    <w:p>
      <w:r>
        <w:br w:type="page"/>
      </w:r>
    </w:p>
    <w:p>
      <w:pPr>
        <w:pStyle w:val="Heading1"/>
        <w:spacing w:after="120" w:before="360"/>
      </w:pPr>
      <w:r>
        <w:rPr>
          <w:b/>
          <w:bCs/>
        </w:rPr>
        <w:t xml:space="preserve">4. Technische Losungsarchitektur</w:t>
      </w:r>
    </w:p>
    <w:p>
      <w:pPr>
        <w:pStyle w:val="Heading2"/>
        <w:spacing w:after="120" w:before="240"/>
      </w:pPr>
      <w:r>
        <w:rPr>
          <w:b/>
          <w:bCs/>
        </w:rPr>
        <w:t xml:space="preserve">4.1 Dokumentklassifikation</w:t>
      </w:r>
    </w:p>
    <w:p>
      <w:pPr>
        <w:spacing w:after="120"/>
      </w:pPr>
      <w:r>
        <w:rPr>
          <w:rFonts w:ascii="Arial" w:cs="Arial" w:eastAsia="Arial" w:hAnsi="Arial"/>
          <w:sz w:val="22"/>
          <w:szCs w:val="22"/>
        </w:rPr>
        <w:t xml:space="preserve">Die Klassifikation erfolgt als erster Schritt nach der OCR-Extraktion und vor der strukturierten Datenextraktion. Sie basiert auf einem regelbasierten Ansatz mit optionalem AI-Fallback.</w:t>
      </w:r>
    </w:p>
    <w:p>
      <w:pPr>
        <w:pStyle w:val="Heading3"/>
        <w:spacing w:after="120" w:before="240"/>
      </w:pPr>
      <w:r>
        <w:rPr>
          <w:b/>
          <w:bCs/>
        </w:rPr>
        <w:t xml:space="preserve">4.1.1 Regelbasierter Klassifikator</w:t>
      </w:r>
    </w:p>
    <w:p>
      <w:pPr>
        <w:spacing w:after="120"/>
      </w:pPr>
      <w:r>
        <w:rPr>
          <w:rFonts w:ascii="Arial" w:cs="Arial" w:eastAsia="Arial" w:hAnsi="Arial"/>
          <w:sz w:val="22"/>
          <w:szCs w:val="22"/>
        </w:rPr>
        <w:t xml:space="preserve">Der Klassifikator pruft die folgenden Regeln in der angegebenen Reihenfolge. Jede Regel liefert einen Score (0-100). Liegt der Gesamtscore uber 80, wird das Dokument als Ausgangsrechnung klassifiziert.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Regel</w:t>
            </w:r>
          </w:p>
        </w:tc>
        <w:tc>
          <w:tcPr>
            <w:tcW w:type="dxa" w:w="1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Gewicht</w:t>
            </w:r>
          </w:p>
        </w:tc>
        <w:tc>
          <w:tcPr>
            <w:tcW w:type="dxa" w:w="58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Pruflogik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Aussteller-Match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UStID, IBAN oder Firmenname des Ausstellers = eigene Stammdaten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Produktname-Match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Mindestens eine Position enthalt bekannten Produktnamen (aqua-Produkte)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Layout-Signatur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Aussteller rechts oben, Empfanger links ('Rechnungsadresse' / 'Invoice 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Reverse-Charge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Hinweis auf Par. 13b UStG = wir sind Leistungserbringer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Kontaktdaten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E-Mail-Domain = @aqua-cloud.io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Negativ-Signal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Eigene Firma steht im Empfangerblock -&gt; wahrscheinlich Eingangsrechnung</w:t>
            </w:r>
          </w:p>
        </w:tc>
      </w:tr>
    </w:tbl>
    <w:p>
      <w:pPr>
        <w:spacing w:after="80"/>
      </w:pPr>
    </w:p>
    <w:p>
      <w:pPr>
        <w:spacing w:after="120"/>
      </w:pPr>
      <w:r>
        <w:rPr>
          <w:rFonts w:ascii="Arial" w:cs="Arial" w:eastAsia="Arial" w:hAnsi="Arial"/>
          <w:b/>
          <w:bCs/>
          <w:sz w:val="22"/>
          <w:szCs w:val="22"/>
        </w:rPr>
        <w:t xml:space="preserve">Entscheidungslogik: </w:t>
      </w:r>
      <w:r>
        <w:rPr>
          <w:rFonts w:ascii="Arial" w:cs="Arial" w:eastAsia="Arial" w:hAnsi="Arial"/>
          <w:sz w:val="22"/>
          <w:szCs w:val="22"/>
        </w:rPr>
        <w:t xml:space="preserve">Score &gt;= 80 -&gt; Ausgangsrechnung (AUTO). Score 50-79 -&gt; Ausgangsrechnung (REVIEW). Score &lt; 50 -&gt; Eingangsrechnung (bestehender Pfad). Bei AI-Fallback wird der Vision-Extraktor mit dem Prompt 'Ist der Aussteller dieses Dokuments identisch mit [eigene Firmendaten]?' befragt.</w:t>
      </w:r>
    </w:p>
    <w:p>
      <w:pPr>
        <w:pStyle w:val="Heading3"/>
        <w:spacing w:after="120" w:before="240"/>
      </w:pPr>
      <w:r>
        <w:rPr>
          <w:b/>
          <w:bCs/>
        </w:rPr>
        <w:t xml:space="preserve">4.1.2 Neues Enum: DocumentType</w:t>
      </w:r>
    </w:p>
    <w:p>
      <w:pPr>
        <w:spacing w:after="120"/>
      </w:pPr>
      <w:r>
        <w:rPr>
          <w:rFonts w:ascii="Arial" w:cs="Arial" w:eastAsia="Arial" w:hAnsi="Arial"/>
          <w:sz w:val="22"/>
          <w:szCs w:val="22"/>
        </w:rPr>
        <w:t xml:space="preserve">Das bestehende Datenmodell wird um ein Feld documentType erweitert:</w:t>
      </w:r>
    </w:p>
    <w:p>
      <w:pPr>
        <w:pStyle w:val="ListParagraph"/>
        <w:numPr>
          <w:ilvl w:val="0"/>
          <w:numId w:val="7"/>
        </w:numPr>
        <w:spacing w:after="60"/>
      </w:pPr>
      <w:r>
        <w:rPr>
          <w:rFonts w:ascii="Arial" w:cs="Arial" w:eastAsia="Arial" w:hAnsi="Arial"/>
          <w:sz w:val="22"/>
          <w:szCs w:val="22"/>
        </w:rPr>
        <w:t xml:space="preserve">INCOMING_INVOICE (bestehend, Default)</w:t>
      </w:r>
    </w:p>
    <w:p>
      <w:pPr>
        <w:pStyle w:val="ListParagraph"/>
        <w:numPr>
          <w:ilvl w:val="0"/>
          <w:numId w:val="7"/>
        </w:numPr>
        <w:spacing w:after="60"/>
      </w:pPr>
      <w:r>
        <w:rPr>
          <w:rFonts w:ascii="Arial" w:cs="Arial" w:eastAsia="Arial" w:hAnsi="Arial"/>
          <w:sz w:val="22"/>
          <w:szCs w:val="22"/>
        </w:rPr>
        <w:t xml:space="preserve">OUTGOING_INVOICE (neu)</w:t>
      </w:r>
    </w:p>
    <w:p>
      <w:pPr>
        <w:pStyle w:val="ListParagraph"/>
        <w:numPr>
          <w:ilvl w:val="0"/>
          <w:numId w:val="7"/>
        </w:numPr>
        <w:spacing w:after="60"/>
      </w:pPr>
      <w:r>
        <w:rPr>
          <w:rFonts w:ascii="Arial" w:cs="Arial" w:eastAsia="Arial" w:hAnsi="Arial"/>
          <w:sz w:val="22"/>
          <w:szCs w:val="22"/>
        </w:rPr>
        <w:t xml:space="preserve">CREDIT_NOTE_INCOMING (zukunftig)</w:t>
      </w:r>
    </w:p>
    <w:p>
      <w:pPr>
        <w:pStyle w:val="ListParagraph"/>
        <w:numPr>
          <w:ilvl w:val="0"/>
          <w:numId w:val="7"/>
        </w:numPr>
        <w:spacing w:after="60"/>
      </w:pPr>
      <w:r>
        <w:rPr>
          <w:rFonts w:ascii="Arial" w:cs="Arial" w:eastAsia="Arial" w:hAnsi="Arial"/>
          <w:sz w:val="22"/>
          <w:szCs w:val="22"/>
        </w:rPr>
        <w:t xml:space="preserve">CREDIT_NOTE_OUTGOING (zukunftig)</w:t>
      </w:r>
    </w:p>
    <w:p>
      <w:pPr>
        <w:pStyle w:val="ListParagraph"/>
        <w:numPr>
          <w:ilvl w:val="0"/>
          <w:numId w:val="7"/>
        </w:numPr>
        <w:spacing w:after="60"/>
      </w:pPr>
      <w:r>
        <w:rPr>
          <w:rFonts w:ascii="Arial" w:cs="Arial" w:eastAsia="Arial" w:hAnsi="Arial"/>
          <w:sz w:val="22"/>
          <w:szCs w:val="22"/>
        </w:rPr>
        <w:t xml:space="preserve">UNKNOWN (Fallback -&gt; immer REVIEW)</w:t>
      </w:r>
    </w:p>
    <w:p>
      <w:pPr>
        <w:pStyle w:val="Heading2"/>
        <w:spacing w:after="120" w:before="240"/>
      </w:pPr>
      <w:r>
        <w:rPr>
          <w:b/>
          <w:bCs/>
        </w:rPr>
        <w:t xml:space="preserve">4.2 Datenextraktion - erweiterte Felder</w:t>
      </w:r>
    </w:p>
    <w:p>
      <w:pPr>
        <w:spacing w:after="120"/>
      </w:pPr>
      <w:r>
        <w:rPr>
          <w:rFonts w:ascii="Arial" w:cs="Arial" w:eastAsia="Arial" w:hAnsi="Arial"/>
          <w:sz w:val="22"/>
          <w:szCs w:val="22"/>
        </w:rPr>
        <w:t xml:space="preserve">Fur Ausgangsrechnungen mussen zusatzlich zu den bestehenden Feldern folgende Informationen extrahiert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800"/>
        <w:gridCol w:w="4726"/>
      </w:tblGrid>
      <w:tr>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Feld</w:t>
            </w:r>
          </w:p>
        </w:tc>
        <w:tc>
          <w:tcPr>
            <w:tcW w:type="dxa" w:w="1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w:t>
            </w:r>
          </w:p>
        </w:tc>
        <w:tc>
          <w:tcPr>
            <w:tcW w:type="dxa" w:w="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47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Quelle / Extraktionslogik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documentType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Ergebnis der Klassifikation (Schritt 4.1)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 Rechnungsadresse/Invoice-To-Block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customer.address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Adressblock unter Kundenname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customer.vatId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USt-ID / TaxID des Kunden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customer.country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 Adresse oder USt-ID-Prafix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Feld 'Rechnungsnummer' / 'Invoice#'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Feld 'Rechnungsdatum' / 'Invoice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Feld 'Falligkeitsdatum' / 'Due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Feld 'Bestellnummer' / 'Order number'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 Gesamtbetrag (EUR/USD)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totalNet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Zwischensumme / Total Net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vatRate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MwSt-Satz (0% oder 19%)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vatAmount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MwSt-Betrag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totalGross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Gesamt / Total Gross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reverseCharge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 wenn 13b-Hinweis vorhanden</w:t>
            </w:r>
          </w:p>
        </w:tc>
      </w:tr>
    </w:tbl>
    <w:p>
      <w:pPr>
        <w:spacing w:after="80"/>
      </w:pPr>
    </w:p>
    <w:p>
      <w:pPr>
        <w:spacing w:after="120"/>
      </w:pPr>
      <w:r>
        <w:rPr>
          <w:rFonts w:ascii="Arial" w:cs="Arial" w:eastAsia="Arial" w:hAnsi="Arial"/>
          <w:b/>
          <w:bCs/>
          <w:sz w:val="22"/>
          <w:szCs w:val="22"/>
        </w:rPr>
        <w:t xml:space="preserve">Zusatzliche Felder pro Rechnungsposition (LineItem):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900"/>
        <w:gridCol w:w="4526"/>
      </w:tblGrid>
      <w:tr>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Feld</w:t>
            </w:r>
          </w:p>
        </w:tc>
        <w:tc>
          <w:tcPr>
            <w:tcW w:type="dxa" w:w="11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45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Bemerkung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productName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Erster Textblock der Position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productCategory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SAAS_LICENSE / ON_PREM_LICENSE / HOSTING / MAINTENANCE / ONE_TIME_SERVICE / DISCOUNT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unitPrice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Einzelpreis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lineTotal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Betrag (= Menge x Einzelpreis)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servicePeriodStart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Bedingt</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Beginn Leistungszeitraum (Pflicht bei Lizenzen)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servicePeriodEnd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Bedingt</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Ende Leistungszeitraum (Pflicht bei Lizenzen)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billingInterval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 MONTHLY / ONE_TIME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isRecurring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Ableitung aus billingInterval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5797" w:sz="1"/>
              <w:left w:val="single" w:color="2B5797" w:sz="6"/>
              <w:bottom w:val="single" w:color="2B5797" w:sz="1"/>
              <w:right w:val="single" w:color="2B5797" w:sz="1"/>
            </w:tcBorders>
            <w:shd w:fill="EBF0F7" w:val="clear"/>
            <w:tcMar>
              <w:top w:type="dxa" w:w="80"/>
              <w:left w:type="dxa" w:w="160"/>
              <w:bottom w:type="dxa" w:w="80"/>
              <w:right w:type="dxa" w:w="120"/>
            </w:tcMar>
          </w:tcPr>
          <w:p>
            <w:pPr>
              <w:spacing w:after="60"/>
            </w:pPr>
            <w:r>
              <w:rPr>
                <w:rFonts w:ascii="Arial" w:cs="Arial" w:eastAsia="Arial" w:hAnsi="Arial"/>
                <w:b/>
                <w:bCs/>
                <w:color w:val="2B5797"/>
                <w:sz w:val="22"/>
                <w:szCs w:val="22"/>
              </w:rPr>
              <w:t xml:space="preserve">Annahme</w:t>
            </w:r>
          </w:p>
          <w:p>
            <w:r>
              <w:rPr>
                <w:rFonts w:ascii="Arial" w:cs="Arial" w:eastAsia="Arial" w:hAnsi="Arial"/>
                <w:sz w:val="20"/>
                <w:szCs w:val="20"/>
              </w:rPr>
              <w:t xml:space="preserve">Die Produktkategorisierung (productCategory) wird initial uber Keyword-Matching auf den Produktnamen abgebildet. Eine konfigurierbare Mapping-Tabelle (Produktname -&gt; Kategorie) wird im Backend gepflegt.</w:t>
            </w:r>
          </w:p>
        </w:tc>
      </w:tr>
    </w:tbl>
    <w:p>
      <w:pPr>
        <w:spacing w:after="80"/>
      </w:pPr>
    </w:p>
    <w:p>
      <w:pPr>
        <w:pStyle w:val="Heading2"/>
        <w:spacing w:after="120" w:before="240"/>
      </w:pPr>
      <w:r>
        <w:rPr>
          <w:b/>
          <w:bCs/>
        </w:rPr>
        <w:t xml:space="preserve">4.3 Validierungsregeln</w:t>
      </w:r>
    </w:p>
    <w:p>
      <w:pPr>
        <w:spacing w:after="120"/>
      </w:pPr>
      <w:r>
        <w:rPr>
          <w:rFonts w:ascii="Arial" w:cs="Arial" w:eastAsia="Arial" w:hAnsi="Arial"/>
          <w:sz w:val="22"/>
          <w:szCs w:val="22"/>
        </w:rPr>
        <w:t xml:space="preserve">Nach der Extraktion werden folgende Validierungen durchgefuhrt. Jede gescheiterte Validierung setzt den Status auf REVIEW_REQUIRED mit entsprechendem Grund: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26"/>
        <w:gridCol w:w="1200"/>
        <w:gridCol w:w="3200"/>
      </w:tblGrid>
      <w:tr>
        <w:tc>
          <w:tcPr>
            <w:tcW w:type="dxa" w:w="1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Regel-ID</w:t>
            </w:r>
          </w:p>
        </w:tc>
        <w:tc>
          <w:tcPr>
            <w:tcW w:type="dxa" w:w="36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Prufung</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Review-Grund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V-01</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Rechnungsnummer vorhanden und Format 2026XXXXXX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MISSING_INVOICE_NUMBER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V-02</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Rechnungsdatum liegt nicht in der Zukunft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INVALID_DATE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V-03</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Gesamtbetrag &gt; 0 (ausser bei Gutschrift)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INVALID_AMOUNT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V-04</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Leistungszeitraum bei Lizenzpositionen vorhanden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MISSING_SERVICE_PERIOD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V-05</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servicePeriodEnd &gt; servicePeriodStart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INVALID_SERVICE_PERIOD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V-06</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Laufzeit &lt;= 36 Monate (Plausibilitat)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UNUSUAL_SERVICE_PERIOD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V-07</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Summe Einzelpositionen = Zwischensumme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AMOUNT_MISMATCH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V-08</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 korrekt berechnet (Toleranz 0,02 EUR)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VAT_MISMATCH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V-09</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 reverseCharge=true: vatRate=0%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REVERSE_CHARGE_VAT_CONFLICT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V-10</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Kunde hat USt-ID bei EU-Ausland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MISSING_CUSTOMER_VAT</w:t>
            </w:r>
          </w:p>
        </w:tc>
      </w:tr>
    </w:tbl>
    <w:p>
      <w:pPr>
        <w:spacing w:after="120"/>
      </w:pPr>
    </w:p>
    <w:p>
      <w:pPr>
        <w:pStyle w:val="Heading2"/>
        <w:spacing w:after="120" w:before="240"/>
      </w:pPr>
      <w:r>
        <w:rPr>
          <w:b/>
          <w:bCs/>
        </w:rPr>
        <w:t xml:space="preserve">4.4 Buchungsvorschlagslogik</w:t>
      </w:r>
    </w:p>
    <w:p>
      <w:pPr>
        <w:pStyle w:val="Heading3"/>
        <w:spacing w:after="120" w:before="240"/>
      </w:pPr>
      <w:r>
        <w:rPr>
          <w:b/>
          <w:bCs/>
        </w:rPr>
        <w:t xml:space="preserve">4.4.1 Grundprinzip</w:t>
      </w:r>
    </w:p>
    <w:p>
      <w:pPr>
        <w:spacing w:after="120"/>
      </w:pPr>
      <w:r>
        <w:rPr>
          <w:rFonts w:ascii="Arial" w:cs="Arial" w:eastAsia="Arial" w:hAnsi="Arial"/>
          <w:sz w:val="22"/>
          <w:szCs w:val="22"/>
        </w:rPr>
        <w:t xml:space="preserve">Jede Ausgangsrechnung erzeugt zwei voneinander unabhangige Buchungsstrange:</w:t>
      </w:r>
    </w:p>
    <w:p>
      <w:pPr>
        <w:pStyle w:val="ListParagraph"/>
        <w:numPr>
          <w:ilvl w:val="0"/>
          <w:numId w:val="8"/>
        </w:numPr>
        <w:spacing w:after="60"/>
      </w:pPr>
      <w:r>
        <w:rPr>
          <w:rFonts w:ascii="Arial" w:cs="Arial" w:eastAsia="Arial" w:hAnsi="Arial"/>
          <w:b/>
          <w:bCs/>
          <w:sz w:val="22"/>
          <w:szCs w:val="22"/>
        </w:rPr>
        <w:t xml:space="preserve">Erlosbuchungen (periodengerecht): </w:t>
      </w:r>
      <w:r>
        <w:rPr>
          <w:rFonts w:ascii="Arial" w:cs="Arial" w:eastAsia="Arial" w:hAnsi="Arial"/>
          <w:sz w:val="22"/>
          <w:szCs w:val="22"/>
        </w:rPr>
        <w:t xml:space="preserve">Verteilung des Netto-Erloeses uber den Leistungszeitraum</w:t>
      </w:r>
    </w:p>
    <w:p>
      <w:pPr>
        <w:pStyle w:val="ListParagraph"/>
        <w:numPr>
          <w:ilvl w:val="0"/>
          <w:numId w:val="8"/>
        </w:numPr>
        <w:spacing w:after="60"/>
      </w:pPr>
      <w:r>
        <w:rPr>
          <w:rFonts w:ascii="Arial" w:cs="Arial" w:eastAsia="Arial" w:hAnsi="Arial"/>
          <w:b/>
          <w:bCs/>
          <w:sz w:val="22"/>
          <w:szCs w:val="22"/>
        </w:rPr>
        <w:t xml:space="preserve">Cashflow-Buchung (zahlungswirksam): </w:t>
      </w:r>
      <w:r>
        <w:rPr>
          <w:rFonts w:ascii="Arial" w:cs="Arial" w:eastAsia="Arial" w:hAnsi="Arial"/>
          <w:sz w:val="22"/>
          <w:szCs w:val="22"/>
        </w:rPr>
        <w:t xml:space="preserve">Einmaliger Zahlungszufluss bei Forderungsausgleich</w:t>
      </w:r>
    </w:p>
    <w:p>
      <w:pPr>
        <w:spacing w:after="80"/>
      </w:pPr>
    </w:p>
    <w:p>
      <w:pPr>
        <w:pStyle w:val="Heading3"/>
        <w:spacing w:after="120" w:before="240"/>
      </w:pPr>
      <w:r>
        <w:rPr>
          <w:b/>
          <w:bCs/>
        </w:rPr>
        <w:t xml:space="preserve">4.4.2 Erloserfassung bei Jahreslizenzen (Normalfall)</w:t>
      </w:r>
    </w:p>
    <w:p>
      <w:pPr>
        <w:spacing w:after="120"/>
      </w:pPr>
      <w:r>
        <w:rPr>
          <w:rFonts w:ascii="Arial" w:cs="Arial" w:eastAsia="Arial" w:hAnsi="Arial"/>
          <w:sz w:val="22"/>
          <w:szCs w:val="22"/>
        </w:rPr>
        <w:t xml:space="preserve">Bei einer Rechnung uber 12.000 EUR netto mit Leistungszeitraum 01.02.2026 - 31.01.2027 ergibt sich folgende Buchungslogik:</w:t>
      </w:r>
    </w:p>
    <w:p>
      <w:pPr>
        <w:spacing w:after="120"/>
      </w:pPr>
      <w:r>
        <w:rPr>
          <w:rFonts w:ascii="Arial" w:cs="Arial" w:eastAsia="Arial" w:hAnsi="Arial"/>
          <w:b/>
          <w:bCs/>
          <w:sz w:val="22"/>
          <w:szCs w:val="22"/>
        </w:rPr>
        <w:t xml:space="preserve">Buchung zum Rechnungsdatum: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226"/>
      </w:tblGrid>
      <w:tr>
        <w:tc>
          <w:tcPr>
            <w:tcW w:type="dxa" w:w="3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Konto</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Soll</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Haben</w:t>
            </w:r>
          </w:p>
        </w:tc>
        <w:tc>
          <w:tcPr>
            <w:tcW w:type="dxa" w:w="22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Bemerkung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 Forderungen aus 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14.280,00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Bruttobetrag (inkl. 19% MwSt)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4400 Erlose aus Lizenzen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Erlos Monat 1 (anteilig)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4900 Passive Rechnungsabgrenzung (PRA)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11.000,00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Verbleibende 11 Monate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1776 Umsatzsteuer 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2.280,00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MwSt sofort fallig</w:t>
            </w:r>
          </w:p>
        </w:tc>
      </w:tr>
    </w:tbl>
    <w:p>
      <w:pPr>
        <w:spacing w:after="80"/>
      </w:pPr>
    </w:p>
    <w:p>
      <w:pPr>
        <w:spacing w:after="120"/>
      </w:pPr>
      <w:r>
        <w:rPr>
          <w:rFonts w:ascii="Arial" w:cs="Arial" w:eastAsia="Arial" w:hAnsi="Arial"/>
          <w:b/>
          <w:bCs/>
          <w:sz w:val="22"/>
          <w:szCs w:val="22"/>
        </w:rPr>
        <w:t xml:space="preserve">Monatliche Auflosung der PRA (Monate 2-12):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226"/>
      </w:tblGrid>
      <w:tr>
        <w:tc>
          <w:tcPr>
            <w:tcW w:type="dxa" w:w="3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Konto</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Soll</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Haben</w:t>
            </w:r>
          </w:p>
        </w:tc>
        <w:tc>
          <w:tcPr>
            <w:tcW w:type="dxa" w:w="22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Bemerkung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4900 Passive Rechnungsabgrenzung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Auflosung 1/12</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4400 Erlose aus Lizenzen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Periodengerechter Erlos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5797" w:sz="1"/>
              <w:left w:val="single" w:color="2B5797" w:sz="6"/>
              <w:bottom w:val="single" w:color="2B5797" w:sz="1"/>
              <w:right w:val="single" w:color="2B5797" w:sz="1"/>
            </w:tcBorders>
            <w:shd w:fill="EBF0F7" w:val="clear"/>
            <w:tcMar>
              <w:top w:type="dxa" w:w="80"/>
              <w:left w:type="dxa" w:w="160"/>
              <w:bottom w:type="dxa" w:w="80"/>
              <w:right w:type="dxa" w:w="120"/>
            </w:tcMar>
          </w:tcPr>
          <w:p>
            <w:pPr>
              <w:spacing w:after="60"/>
            </w:pPr>
            <w:r>
              <w:rPr>
                <w:rFonts w:ascii="Arial" w:cs="Arial" w:eastAsia="Arial" w:hAnsi="Arial"/>
                <w:b/>
                <w:bCs/>
                <w:color w:val="2B5797"/>
                <w:sz w:val="22"/>
                <w:szCs w:val="22"/>
              </w:rPr>
              <w:t xml:space="preserve">Verteilungslogik</w:t>
            </w:r>
          </w:p>
          <w:p>
            <w:r>
              <w:rPr>
                <w:rFonts w:ascii="Arial" w:cs="Arial" w:eastAsia="Arial" w:hAnsi="Arial"/>
                <w:sz w:val="20"/>
                <w:szCs w:val="20"/>
              </w:rPr>
              <w:t xml:space="preserve">Die Verteilung erfolgt linear pro Monat: Nettobetrag / Anzahl Monate im Leistungszeitraum. Bei angebrochenen Monaten wird tagesgenau abgegrenzt (Nettobetrag / Gesamttage * Tage im Monat). Die MwSt wird zum Rechnungsdatum vollstandig gebucht, da die Steuerschuld mit Rechnungsstellung entsteht.</w:t>
            </w:r>
          </w:p>
        </w:tc>
      </w:tr>
    </w:tbl>
    <w:p>
      <w:pPr>
        <w:spacing w:after="80"/>
      </w:pPr>
    </w:p>
    <w:p>
      <w:pPr>
        <w:pStyle w:val="Heading3"/>
        <w:spacing w:after="120" w:before="240"/>
      </w:pPr>
      <w:r>
        <w:rPr>
          <w:b/>
          <w:bCs/>
        </w:rPr>
        <w:t xml:space="preserve">4.4.3 Sonderfalle der Erlosverteilung</w:t>
      </w:r>
    </w:p>
    <w:p>
      <w:pPr>
        <w:spacing w:after="120"/>
      </w:pPr>
      <w:r>
        <w:rPr>
          <w:rFonts w:ascii="Arial" w:cs="Arial" w:eastAsia="Arial" w:hAnsi="Arial"/>
          <w:b/>
          <w:bCs/>
          <w:sz w:val="22"/>
          <w:szCs w:val="22"/>
        </w:rPr>
        <w:t xml:space="preserve">a) Monatsabonnements (billingInterval = MONTHLY):</w:t>
      </w:r>
    </w:p>
    <w:p>
      <w:pPr>
        <w:spacing w:after="120"/>
      </w:pPr>
      <w:r>
        <w:rPr>
          <w:rFonts w:ascii="Arial" w:cs="Arial" w:eastAsia="Arial" w:hAnsi="Arial"/>
          <w:sz w:val="22"/>
          <w:szCs w:val="22"/>
        </w:rPr>
        <w:t xml:space="preserve">Keine Abgrenzung notwendig. Der gesamte Nettobetrag wird im Rechnungsmonat als Erlos gebucht. Konto: Forderung an Erlose.</w:t>
      </w:r>
    </w:p>
    <w:p>
      <w:pPr>
        <w:spacing w:after="120"/>
      </w:pPr>
      <w:r>
        <w:rPr>
          <w:rFonts w:ascii="Arial" w:cs="Arial" w:eastAsia="Arial" w:hAnsi="Arial"/>
          <w:b/>
          <w:bCs/>
          <w:sz w:val="22"/>
          <w:szCs w:val="22"/>
        </w:rPr>
        <w:t xml:space="preserve">b) Einmalleistungen (billingInterval = ONE_TIME):</w:t>
      </w:r>
    </w:p>
    <w:p>
      <w:pPr>
        <w:spacing w:after="120"/>
      </w:pPr>
      <w:r>
        <w:rPr>
          <w:rFonts w:ascii="Arial" w:cs="Arial" w:eastAsia="Arial" w:hAnsi="Arial"/>
          <w:sz w:val="22"/>
          <w:szCs w:val="22"/>
        </w:rPr>
        <w:t xml:space="preserve">Sofortige Erloserfassung zum Rechnungsdatum. Kein Leistungszeitraum, keine Verteilung. Beispiel: aqua Starter Kit.</w:t>
      </w:r>
    </w:p>
    <w:p>
      <w:pPr>
        <w:spacing w:after="120"/>
      </w:pPr>
      <w:r>
        <w:rPr>
          <w:rFonts w:ascii="Arial" w:cs="Arial" w:eastAsia="Arial" w:hAnsi="Arial"/>
          <w:b/>
          <w:bCs/>
          <w:sz w:val="22"/>
          <w:szCs w:val="22"/>
        </w:rPr>
        <w:t xml:space="preserve">c) Staffelrabatt (productCategory = DISCOUNT):</w:t>
      </w:r>
    </w:p>
    <w:p>
      <w:pPr>
        <w:spacing w:after="120"/>
      </w:pPr>
      <w:r>
        <w:rPr>
          <w:rFonts w:ascii="Arial" w:cs="Arial" w:eastAsia="Arial" w:hAnsi="Arial"/>
          <w:sz w:val="22"/>
          <w:szCs w:val="22"/>
        </w:rPr>
        <w:t xml:space="preserve">Der Rabatt wird anteilig auf die zugehorigen Lizenzpositionen verteilt und mindert den monatlichen Erlos proportional. Die Laufzeit des Rabatts entspricht der Laufzeit der Hauptposition.</w:t>
      </w:r>
    </w:p>
    <w:p>
      <w:pPr>
        <w:spacing w:after="120"/>
      </w:pPr>
      <w:r>
        <w:rPr>
          <w:rFonts w:ascii="Arial" w:cs="Arial" w:eastAsia="Arial" w:hAnsi="Arial"/>
          <w:b/>
          <w:bCs/>
          <w:sz w:val="22"/>
          <w:szCs w:val="22"/>
        </w:rPr>
        <w:t xml:space="preserve">d) Gratispositionen (lineTotal = 0,00):</w:t>
      </w:r>
    </w:p>
    <w:p>
      <w:pPr>
        <w:spacing w:after="120"/>
      </w:pPr>
      <w:r>
        <w:rPr>
          <w:rFonts w:ascii="Arial" w:cs="Arial" w:eastAsia="Arial" w:hAnsi="Arial"/>
          <w:sz w:val="22"/>
          <w:szCs w:val="22"/>
        </w:rPr>
        <w:t xml:space="preserve">Werden extrahiert und dokumentiert, erzeugen aber keine Buchung. Sie dienen der Vertragsdokumentation.</w:t>
      </w:r>
    </w:p>
    <w:p>
      <w:pPr>
        <w:spacing w:after="120"/>
      </w:pPr>
      <w:r>
        <w:rPr>
          <w:rFonts w:ascii="Arial" w:cs="Arial" w:eastAsia="Arial" w:hAnsi="Arial"/>
          <w:b/>
          <w:bCs/>
          <w:sz w:val="22"/>
          <w:szCs w:val="22"/>
        </w:rPr>
        <w:t xml:space="preserve">e) Teilzeitraume (&lt; 12 Monate):</w:t>
      </w:r>
    </w:p>
    <w:p>
      <w:pPr>
        <w:spacing w:after="120"/>
      </w:pPr>
      <w:r>
        <w:rPr>
          <w:rFonts w:ascii="Arial" w:cs="Arial" w:eastAsia="Arial" w:hAnsi="Arial"/>
          <w:sz w:val="22"/>
          <w:szCs w:val="22"/>
        </w:rPr>
        <w:t xml:space="preserve">Identische Logik wie Jahreslizenzen, nur mit kurzerem Verteilungszeitraum. Beispiel: 6 Monate -&gt; Verteilung auf 6 Monate.</w:t>
      </w:r>
    </w:p>
    <w:p>
      <w:pPr>
        <w:spacing w:after="120"/>
      </w:pPr>
      <w:r>
        <w:rPr>
          <w:rFonts w:ascii="Arial" w:cs="Arial" w:eastAsia="Arial" w:hAnsi="Arial"/>
          <w:b/>
          <w:bCs/>
          <w:sz w:val="22"/>
          <w:szCs w:val="22"/>
        </w:rPr>
        <w:t xml:space="preserve">f) Fehlender Leistungszeitraum:</w:t>
      </w:r>
    </w:p>
    <w:p>
      <w:pPr>
        <w:spacing w:after="120"/>
      </w:pPr>
      <w:r>
        <w:rPr>
          <w:rFonts w:ascii="Arial" w:cs="Arial" w:eastAsia="Arial" w:hAnsi="Arial"/>
          <w:sz w:val="22"/>
          <w:szCs w:val="22"/>
        </w:rPr>
        <w:t xml:space="preserve">Position geht in REVIEW. Fallback-Annahme (konfigurierbar): 12 Monate ab Rechnungsdatum. Der Reviewer muss den Zeitraum manuell bestatigen.</w:t>
      </w:r>
    </w:p>
    <w:p>
      <w:pPr>
        <w:spacing w:after="80"/>
      </w:pPr>
    </w:p>
    <w:p>
      <w:pPr>
        <w:pStyle w:val="Heading2"/>
        <w:spacing w:after="120" w:before="240"/>
      </w:pPr>
      <w:r>
        <w:rPr>
          <w:b/>
          <w:bCs/>
        </w:rPr>
        <w:t xml:space="preserve">4.5 Cashflow-Abbildung</w:t>
      </w:r>
    </w:p>
    <w:p>
      <w:pPr>
        <w:pStyle w:val="Heading3"/>
        <w:spacing w:after="120" w:before="240"/>
      </w:pPr>
      <w:r>
        <w:rPr>
          <w:b/>
          <w:bCs/>
        </w:rPr>
        <w:t xml:space="preserve">4.5.1 Fachliche Trennung</w:t>
      </w:r>
    </w:p>
    <w:p>
      <w:pPr>
        <w:spacing w:after="120"/>
      </w:pPr>
      <w:r>
        <w:rPr>
          <w:rFonts w:ascii="Arial" w:cs="Arial" w:eastAsia="Arial" w:hAnsi="Arial"/>
          <w:sz w:val="22"/>
          <w:szCs w:val="22"/>
        </w:rPr>
        <w:t xml:space="preserve">Die periodengerechte Erloserfassung (GuV-Sicht) und die Liquiditätswirkung (Cashflow-Sicht) sind strikt zu trennen: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413"/>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GuV / Erloserfassung</w:t>
            </w:r>
          </w:p>
        </w:tc>
        <w:tc>
          <w:tcPr>
            <w:tcW w:type="dxa" w:w="3413"/>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Cashflow / Liquiditat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Zeitpunkt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Verteilt uber Leistungszeitraum</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Einmalig bei Zahlungseingang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Betrag</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Netto, anteilig pro Monat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Brutto (inkl. MwSt), Gesamtbetrag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Konto</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4400 Erlose / 4900 PRA</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 Forderungen / 1800 Bank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Automatisch per Scheduler (monatlich)</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Manuell oder per Bankabgleich</w:t>
            </w:r>
          </w:p>
        </w:tc>
      </w:tr>
    </w:tbl>
    <w:p>
      <w:pPr>
        <w:spacing w:after="80"/>
      </w:pPr>
    </w:p>
    <w:p>
      <w:pPr>
        <w:pStyle w:val="Heading3"/>
        <w:spacing w:after="120" w:before="240"/>
      </w:pPr>
      <w:r>
        <w:rPr>
          <w:b/>
          <w:bCs/>
        </w:rPr>
        <w:t xml:space="preserve">4.5.2 Buchung bei Zahlungseingang</w:t>
      </w:r>
    </w:p>
    <w:p>
      <w:pPr>
        <w:spacing w:after="120"/>
      </w:pPr>
      <w:r>
        <w:rPr>
          <w:rFonts w:ascii="Arial" w:cs="Arial" w:eastAsia="Arial" w:hAnsi="Arial"/>
          <w:b/>
          <w:bCs/>
          <w:sz w:val="22"/>
          <w:szCs w:val="22"/>
        </w:rPr>
        <w:t xml:space="preserve">Beim Zahlungseingang (Bankabgleich oder manuell):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226"/>
      </w:tblGrid>
      <w:tr>
        <w:tc>
          <w:tcPr>
            <w:tcW w:type="dxa" w:w="3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Konto</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Soll</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Haben</w:t>
            </w:r>
          </w:p>
        </w:tc>
        <w:tc>
          <w:tcPr>
            <w:tcW w:type="dxa" w:w="22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Bemerkung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14.280,00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Zahlungseingang brutto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 Forderungen aus 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14.280,00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Forderung ausgeglichen</w:t>
            </w:r>
          </w:p>
        </w:tc>
      </w:tr>
    </w:tbl>
    <w:p>
      <w:pPr>
        <w:spacing w:after="80"/>
      </w:pPr>
    </w:p>
    <w:p>
      <w:pPr>
        <w:pStyle w:val="Heading3"/>
        <w:spacing w:after="120" w:before="240"/>
      </w:pPr>
      <w:r>
        <w:rPr>
          <w:b/>
          <w:bCs/>
        </w:rPr>
        <w:t xml:space="preserve">4.5.3 Systemmodell fur die Trennung</w:t>
      </w:r>
    </w:p>
    <w:p>
      <w:pPr>
        <w:spacing w:after="120"/>
      </w:pPr>
      <w:r>
        <w:rPr>
          <w:rFonts w:ascii="Arial" w:cs="Arial" w:eastAsia="Arial" w:hAnsi="Arial"/>
          <w:sz w:val="22"/>
          <w:szCs w:val="22"/>
        </w:rPr>
        <w:t xml:space="preserve">Im Datenmodell werden zwei separate Entitaten gefuhrt:</w:t>
      </w:r>
    </w:p>
    <w:p>
      <w:pPr>
        <w:pStyle w:val="ListParagraph"/>
        <w:numPr>
          <w:ilvl w:val="0"/>
          <w:numId w:val="9"/>
        </w:numPr>
        <w:spacing w:after="60"/>
      </w:pPr>
      <w:r>
        <w:rPr>
          <w:rFonts w:ascii="Arial" w:cs="Arial" w:eastAsia="Arial" w:hAnsi="Arial"/>
          <w:b/>
          <w:bCs/>
          <w:sz w:val="22"/>
          <w:szCs w:val="22"/>
        </w:rPr>
        <w:t xml:space="preserve">RevenueSchedule: </w:t>
      </w:r>
      <w:r>
        <w:rPr>
          <w:rFonts w:ascii="Arial" w:cs="Arial" w:eastAsia="Arial" w:hAnsi="Arial"/>
          <w:sz w:val="22"/>
          <w:szCs w:val="22"/>
        </w:rPr>
        <w:t xml:space="preserve">Enthalt die monatlichen Erlosbuchungen (Soll-Plan). Felder: invoiceId, lineItemId, month, amount, status (PLANNED/BOOKED). Wird automatisch aus dem Leistungszeitraum generiert.</w:t>
      </w:r>
    </w:p>
    <w:p>
      <w:pPr>
        <w:pStyle w:val="ListParagraph"/>
        <w:numPr>
          <w:ilvl w:val="0"/>
          <w:numId w:val="9"/>
        </w:numPr>
        <w:spacing w:after="60"/>
      </w:pPr>
      <w:r>
        <w:rPr>
          <w:rFonts w:ascii="Arial" w:cs="Arial" w:eastAsia="Arial" w:hAnsi="Arial"/>
          <w:b/>
          <w:bCs/>
          <w:sz w:val="22"/>
          <w:szCs w:val="22"/>
        </w:rPr>
        <w:t xml:space="preserve">CashflowEntry: </w:t>
      </w:r>
      <w:r>
        <w:rPr>
          <w:rFonts w:ascii="Arial" w:cs="Arial" w:eastAsia="Arial" w:hAnsi="Arial"/>
          <w:sz w:val="22"/>
          <w:szCs w:val="22"/>
        </w:rPr>
        <w:t xml:space="preserve">Enthalt die Zahlungsinformation. Felder: invoiceId, expectedDate (=dueDate), actualDate (bei Eingang), grossAmount, status (OPEN/RECEIVED/OVERDUE). Wird aus dem Falligkeitsdatum generiert.</w:t>
      </w:r>
    </w:p>
    <w:p>
      <w:pPr>
        <w:spacing w:after="80"/>
      </w:pPr>
    </w:p>
    <w:p>
      <w:pPr>
        <w:spacing w:after="120"/>
      </w:pPr>
      <w:r>
        <w:rPr>
          <w:rFonts w:ascii="Arial" w:cs="Arial" w:eastAsia="Arial" w:hAnsi="Arial"/>
          <w:sz w:val="22"/>
          <w:szCs w:val="22"/>
        </w:rPr>
        <w:t xml:space="preserve">Beide Entitaten referenzieren die Rechnung, sind aber unabhangig voneinander. Ein monatlicher Batch-Job lost fallige RevenueSchedule-Eintrage auf (PRA -&gt; Erlos). Der CashflowEntry wird erst bei tatsachlichem Geldeingang auf RECEIVED gesetzt.</w:t>
      </w:r>
    </w:p>
    <w:p>
      <w:r>
        <w:br w:type="page"/>
      </w:r>
    </w:p>
    <w:p>
      <w:pPr>
        <w:pStyle w:val="Heading1"/>
        <w:spacing w:after="120" w:before="360"/>
      </w:pPr>
      <w:r>
        <w:rPr>
          <w:b/>
          <w:bCs/>
        </w:rPr>
        <w:t xml:space="preserve">5. Konkrete Anderungsbedarfe im System</w:t>
      </w:r>
    </w:p>
    <w:p>
      <w:pPr>
        <w:pStyle w:val="Heading2"/>
        <w:spacing w:after="120" w:before="240"/>
      </w:pPr>
      <w:r>
        <w:rPr>
          <w:b/>
          <w:bCs/>
        </w:rPr>
        <w:t xml:space="preserve">5.1 Backend-Komponenten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226"/>
        <w:gridCol w:w="1200"/>
      </w:tblGrid>
      <w:tr>
        <w:tc>
          <w:tcPr>
            <w:tcW w:type="dxa" w:w="2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52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Anderung</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Prioritat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DocumentClassifier (NEU)</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Neue Komponente nach OCR-Schritt. Regelbasierte Klassifikation + AI-Fallback. Output: DocumentType + Confidence-Score.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ExtractionService</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Erweiterung um Ausgangsrechnungs-Template. Neue Felder: customer.*, servicePeriod*, productCategory, billingInterval, reverseCharge.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ValidationService</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neue Validierungsregeln (V-01 bis V-10). Erweiterte Review-Grunde.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BookingProposalService</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Neue Buchungslogik fur Ausgangsrechnungen. Erlosverteilung statt Aufwandsbuchung. PRA-Berechnung.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RevenueScheduleService (NEU)</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Monatliche Erlosverteilung generieren und verwalten. Batch-Job fur automatische Auflosung.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CashflowService (NEU)</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Zahlungszufluss-Tracking. Integration mit Bankabgleich. Mahnwesen-Trigger.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ProductMappingService (NEU)</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Konfigurierbare Zuordnung Produktname -&gt; Kategorie -&gt; Erloskonto. Admin-UI.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Domänenmodell / DTOs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Neue Entitaten: OutgoingInvoice, RevenueScheduleEntry, CashflowEntry. Erweiterung InvoiceLineItem um servicePeriod-Felder.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MVP</w:t>
            </w:r>
          </w:p>
        </w:tc>
      </w:tr>
    </w:tbl>
    <w:p>
      <w:pPr>
        <w:spacing w:after="120"/>
      </w:pPr>
    </w:p>
    <w:p>
      <w:pPr>
        <w:pStyle w:val="Heading2"/>
        <w:spacing w:after="120" w:before="240"/>
      </w:pPr>
      <w:r>
        <w:rPr>
          <w:b/>
          <w:bCs/>
        </w:rPr>
        <w:t xml:space="preserve">5.2 API-Anpassungen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Endpunkt</w:t>
            </w:r>
          </w:p>
        </w:tc>
        <w:tc>
          <w:tcPr>
            <w:tcW w:type="dxa" w:w="50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Anderung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/documents</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 enthalt neu: documentType, classificationConfidence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/documents/{id}</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Erweitert um documentType, customer-Block, lineItems mit servicePeriod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/documents/{id}/booking-proposal</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Neues Response-Format: revenueEntries[] + cashflowEntry statt bisher nur bookingEntries[]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/documents/{id}/revenue-schedule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 Liefert die monatliche Erlosverteilung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/documents/{id}/review</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Erweitert um neue reviewReasons (MISSING_SERVICE_PERIOD, CLASSIFICATION_UNCERTAIN, etc.)</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/revenue-schedules?month=YYYY-MM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 Alle falligen Erlosauflösungen fur einen Monat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/cashflow?from=...&amp;to=...</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 Cashflow-Ubersicht fur Zeitraum</w:t>
            </w:r>
          </w:p>
        </w:tc>
      </w:tr>
    </w:tbl>
    <w:p>
      <w:pPr>
        <w:spacing w:after="120"/>
      </w:pPr>
    </w:p>
    <w:p>
      <w:pPr>
        <w:pStyle w:val="Heading2"/>
        <w:spacing w:after="120" w:before="240"/>
      </w:pPr>
      <w:r>
        <w:rPr>
          <w:b/>
          <w:bCs/>
        </w:rPr>
        <w:t xml:space="preserve">5.3 Frontend-Anpassungen</w:t>
      </w:r>
    </w:p>
    <w:p>
      <w:pPr>
        <w:pStyle w:val="ListParagraph"/>
        <w:numPr>
          <w:ilvl w:val="0"/>
          <w:numId w:val="10"/>
        </w:numPr>
        <w:spacing w:after="60"/>
      </w:pPr>
      <w:r>
        <w:rPr>
          <w:rFonts w:ascii="Arial" w:cs="Arial" w:eastAsia="Arial" w:hAnsi="Arial"/>
          <w:b/>
          <w:bCs/>
          <w:sz w:val="22"/>
          <w:szCs w:val="22"/>
        </w:rPr>
        <w:t xml:space="preserve">Dokumentdetail-Ansicht: </w:t>
      </w:r>
      <w:r>
        <w:rPr>
          <w:rFonts w:ascii="Arial" w:cs="Arial" w:eastAsia="Arial" w:hAnsi="Arial"/>
          <w:sz w:val="22"/>
          <w:szCs w:val="22"/>
        </w:rPr>
        <w:t xml:space="preserve">Anzeige des Dokumenttyps (Eingang/Ausgang) mit farblicher Kennzeichnung. Kundenblock statt Lieferantenblock bei Ausgangsrechnungen.</w:t>
      </w:r>
    </w:p>
    <w:p>
      <w:pPr>
        <w:pStyle w:val="ListParagraph"/>
        <w:numPr>
          <w:ilvl w:val="0"/>
          <w:numId w:val="10"/>
        </w:numPr>
        <w:spacing w:after="60"/>
      </w:pPr>
      <w:r>
        <w:rPr>
          <w:rFonts w:ascii="Arial" w:cs="Arial" w:eastAsia="Arial" w:hAnsi="Arial"/>
          <w:b/>
          <w:bCs/>
          <w:sz w:val="22"/>
          <w:szCs w:val="22"/>
        </w:rPr>
        <w:t xml:space="preserve">Positionsdetails: </w:t>
      </w:r>
      <w:r>
        <w:rPr>
          <w:rFonts w:ascii="Arial" w:cs="Arial" w:eastAsia="Arial" w:hAnsi="Arial"/>
          <w:sz w:val="22"/>
          <w:szCs w:val="22"/>
        </w:rPr>
        <w:t xml:space="preserve">Leistungszeitraum-Anzeige pro Position. Produktkategorie als Badge.</w:t>
      </w:r>
    </w:p>
    <w:p>
      <w:pPr>
        <w:pStyle w:val="ListParagraph"/>
        <w:numPr>
          <w:ilvl w:val="0"/>
          <w:numId w:val="10"/>
        </w:numPr>
        <w:spacing w:after="60"/>
      </w:pPr>
      <w:r>
        <w:rPr>
          <w:rFonts w:ascii="Arial" w:cs="Arial" w:eastAsia="Arial" w:hAnsi="Arial"/>
          <w:b/>
          <w:bCs/>
          <w:sz w:val="22"/>
          <w:szCs w:val="22"/>
        </w:rPr>
        <w:t xml:space="preserve">Buchungsvorschlag-Ansicht: </w:t>
      </w:r>
      <w:r>
        <w:rPr>
          <w:rFonts w:ascii="Arial" w:cs="Arial" w:eastAsia="Arial" w:hAnsi="Arial"/>
          <w:sz w:val="22"/>
          <w:szCs w:val="22"/>
        </w:rPr>
        <w:t xml:space="preserve">Tabellarische Darstellung der Erlosverteilung uber alle Monate. Visualisierung als Zeitleiste oder Balkendiagramm.</w:t>
      </w:r>
    </w:p>
    <w:p>
      <w:pPr>
        <w:pStyle w:val="ListParagraph"/>
        <w:numPr>
          <w:ilvl w:val="0"/>
          <w:numId w:val="10"/>
        </w:numPr>
        <w:spacing w:after="60"/>
      </w:pPr>
      <w:r>
        <w:rPr>
          <w:rFonts w:ascii="Arial" w:cs="Arial" w:eastAsia="Arial" w:hAnsi="Arial"/>
          <w:b/>
          <w:bCs/>
          <w:sz w:val="22"/>
          <w:szCs w:val="22"/>
        </w:rPr>
        <w:t xml:space="preserve">Review-UI: </w:t>
      </w:r>
      <w:r>
        <w:rPr>
          <w:rFonts w:ascii="Arial" w:cs="Arial" w:eastAsia="Arial" w:hAnsi="Arial"/>
          <w:sz w:val="22"/>
          <w:szCs w:val="22"/>
        </w:rPr>
        <w:t xml:space="preserve">Neue Review-Grunde anzeigbar. Moglichkeit, fehlenden Leistungszeitraum manuell nachzutragen.</w:t>
      </w:r>
    </w:p>
    <w:p>
      <w:pPr>
        <w:pStyle w:val="ListParagraph"/>
        <w:numPr>
          <w:ilvl w:val="0"/>
          <w:numId w:val="10"/>
        </w:numPr>
        <w:spacing w:after="60"/>
      </w:pPr>
      <w:r>
        <w:rPr>
          <w:rFonts w:ascii="Arial" w:cs="Arial" w:eastAsia="Arial" w:hAnsi="Arial"/>
          <w:b/>
          <w:bCs/>
          <w:sz w:val="22"/>
          <w:szCs w:val="22"/>
        </w:rPr>
        <w:t xml:space="preserve">Dashboard: </w:t>
      </w:r>
      <w:r>
        <w:rPr>
          <w:rFonts w:ascii="Arial" w:cs="Arial" w:eastAsia="Arial" w:hAnsi="Arial"/>
          <w:sz w:val="22"/>
          <w:szCs w:val="22"/>
        </w:rPr>
        <w:t xml:space="preserve">Neues Widget: Offene Erlosabgrenzungen (PRA-Saldo). Cashflow-Prognose basierend auf offenen Forderungen.</w:t>
      </w:r>
    </w:p>
    <w:p>
      <w:pPr>
        <w:pStyle w:val="Heading2"/>
        <w:spacing w:after="120" w:before="240"/>
      </w:pPr>
      <w:r>
        <w:rPr>
          <w:b/>
          <w:bCs/>
        </w:rPr>
        <w:t xml:space="preserve">5.4 Neue Felder, Stati und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w:t>
            </w:r>
          </w:p>
        </w:tc>
        <w:tc>
          <w:tcPr>
            <w:tcW w:type="dxa" w:w="4026"/>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Werte / Beschreibung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(Document)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INCOMING_INVOICE, OUTGOING_INVOICE, CREDIT_NOTE_INCOMING, CREDIT_NOTE_OUTGOING, UNKNOWN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classificationConfidence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 (Document)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0.0 - 1.0, Schwellwert fur Auto-Approval: 0.8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productCategory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(LineItem)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SAAS_LICENSE, ON_PREM_LICENSE, HOSTING, MAINTENANCE, ONE_TIME_SERVICE, DISCOUNT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billingInterval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(LineItem)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MONTHLY, ONE_TIME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servicePeriodStart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(LineItem)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Beginn des Leistungszeitraums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servicePeriodEnd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(LineItem)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Ende des Leistungszeitraums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reverseCharge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 (Document)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 bei EU-/Drittland-Lieferung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revenueScheduleStatus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(RevenueSchedule)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 BOOKED, CANCELLED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cashflowStatus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(CashflowEntry)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RECEIVED, OVERDUE, WRITTEN_OFF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reviewReason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(erweitert)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 MISSING_SERVICE_PERIOD, CLASSIFICATION_UNCERTAIN, UNUSUAL_PERIOD, REVERSE_CHARGE_CONFLICT, AMOUNT_MISMATCH</w:t>
            </w:r>
          </w:p>
        </w:tc>
      </w:tr>
    </w:tbl>
    <w:p>
      <w:pPr>
        <w:spacing w:after="120"/>
      </w:pPr>
    </w:p>
    <w:p>
      <w:pPr>
        <w:pStyle w:val="Heading1"/>
        <w:spacing w:after="120" w:before="360"/>
      </w:pPr>
      <w:r>
        <w:rPr>
          <w:b/>
          <w:bCs/>
        </w:rPr>
        <w:t xml:space="preserve">6. Risiken und Sonderfalle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13"/>
        <w:gridCol w:w="4213"/>
      </w:tblGrid>
      <w:tr>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Sonderfall</w:t>
            </w:r>
          </w:p>
        </w:tc>
        <w:tc>
          <w:tcPr>
            <w:tcW w:type="dxa" w:w="2413"/>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Risiko</w:t>
            </w:r>
          </w:p>
        </w:tc>
        <w:tc>
          <w:tcPr>
            <w:tcW w:type="dxa" w:w="4213"/>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Empfohlene Behandlung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Fehlender Leistungszeitraum</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Keine periodengerechte Verteilung moglich</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 Fallback-Annahme 12 Monate ab Rechnungsdatum. Reviewer bestatigt/korrigiert.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Unklare Laufzeit ('Laufzeit 12 Monate' ohne Datum)</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Start-/Enddatum nicht prazise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Ableitung: Start = Rechnungsdatum, Ende = Start + 12 Monate. REVIEW bei Abweichung.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Teilzeitraume (z.B. 6 Monate)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Falsche Verteilung wenn als 12 Monate angenommen</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Explizite Extraktion der Datumsangaben. Bei Laufzeit &lt; 6 oder &gt; 24 Monate -&gt;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Gutschriften</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Negative Betrage, invertierte Buchungslogik</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 Eigener DocumentType CREDIT_NOTE_OUTGOING. Storno der Erlosverteilung.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Kundigungen wahrend Laufzeit</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Bereits geplante Erlose mussen storniert werden</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 Storno-Funktion auf RevenueSchedule. Offene PLANNED-Eintrage auf CANCELLED.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Abweichende Abrechnungsintervalle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Quartal, Halbjahr statt Jahr/Monat</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billingInterval erweitern um QUARTERLY, SEMI_ANNUAL. Verteilungslogik analog.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Netto/Brutto-Unklarheiten</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Falsche MwSt-Berechnung</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Validierung V-08 (Toleranz). Bei Abweichung &gt; 0,02 EUR -&gt;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Mehrere Wahrungen (EUR/USD)</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Wechselkursproblematik</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 Wahrungsfeld pro Rechnung. Umrechnung zum Tageskurs bei Nicht-EUR-Rechnungen.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Rechnungen ohne Bestimmung (Score 50-79)</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Falsche Klassifikation</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REVIEW-Pflicht. Manueller Override durch Sachbearbeiter mit Audit-Trail.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Staffelrabatt ohne klare Zuordnung</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Rabatt keiner Position zuordenbar</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Verteilung proportional auf alle Lizenzpositionen der gleichen Rechnung.</w:t>
            </w:r>
          </w:p>
        </w:tc>
      </w:tr>
    </w:tbl>
    <w:p>
      <w:pPr>
        <w:spacing w:after="120"/>
      </w:pPr>
    </w:p>
    <w:p>
      <w:pPr>
        <w:pStyle w:val="Heading1"/>
        <w:spacing w:after="120" w:before="360"/>
      </w:pPr>
      <w:r>
        <w:rPr>
          <w:b/>
          <w:bCs/>
        </w:rPr>
        <w:t xml:space="preserve">7. Empfohlener Umsetzungsschnitt</w:t>
      </w:r>
    </w:p>
    <w:p>
      <w:pPr>
        <w:pStyle w:val="Heading2"/>
        <w:spacing w:after="120" w:before="240"/>
      </w:pPr>
      <w:r>
        <w:rPr>
          <w:b/>
          <w:bCs/>
        </w:rPr>
        <w:t xml:space="preserve">7.1 Phase 1: MVP (Sprint 1-4)</w:t>
      </w:r>
    </w:p>
    <w:p>
      <w:pPr>
        <w:spacing w:after="120"/>
      </w:pPr>
      <w:r>
        <w:rPr>
          <w:rFonts w:ascii="Arial" w:cs="Arial" w:eastAsia="Arial" w:hAnsi="Arial"/>
          <w:b/>
          <w:bCs/>
          <w:sz w:val="22"/>
          <w:szCs w:val="22"/>
        </w:rPr>
        <w:t xml:space="preserve">Ziel: </w:t>
      </w:r>
      <w:r>
        <w:rPr>
          <w:rFonts w:ascii="Arial" w:cs="Arial" w:eastAsia="Arial" w:hAnsi="Arial"/>
          <w:sz w:val="22"/>
          <w:szCs w:val="22"/>
        </w:rPr>
        <w:t xml:space="preserve">Ausgangsrechnungen korrekt erkennen und mit periodengerechter Erlosverteilung buchen.</w:t>
      </w:r>
    </w:p>
    <w:p>
      <w:pPr>
        <w:pStyle w:val="ListParagraph"/>
        <w:numPr>
          <w:ilvl w:val="0"/>
          <w:numId w:val="11"/>
        </w:numPr>
        <w:spacing w:after="60"/>
      </w:pPr>
      <w:r>
        <w:rPr>
          <w:rFonts w:ascii="Arial" w:cs="Arial" w:eastAsia="Arial" w:hAnsi="Arial"/>
          <w:b/>
          <w:bCs/>
          <w:sz w:val="22"/>
          <w:szCs w:val="22"/>
        </w:rPr>
        <w:t xml:space="preserve">Sprint 1 - Klassifikation: </w:t>
      </w:r>
      <w:r>
        <w:rPr>
          <w:rFonts w:ascii="Arial" w:cs="Arial" w:eastAsia="Arial" w:hAnsi="Arial"/>
          <w:sz w:val="22"/>
          <w:szCs w:val="22"/>
        </w:rPr>
        <w:t xml:space="preserve">DocumentClassifier implementieren. Regelbasierte Erkennung mit den 6 definierten Regeln. Neues Feld documentType im Domänenmodell. Anpassung der API (POST/GET /documents).</w:t>
      </w:r>
    </w:p>
    <w:p>
      <w:pPr>
        <w:pStyle w:val="ListParagraph"/>
        <w:numPr>
          <w:ilvl w:val="0"/>
          <w:numId w:val="11"/>
        </w:numPr>
        <w:spacing w:after="60"/>
      </w:pPr>
      <w:r>
        <w:rPr>
          <w:rFonts w:ascii="Arial" w:cs="Arial" w:eastAsia="Arial" w:hAnsi="Arial"/>
          <w:b/>
          <w:bCs/>
          <w:sz w:val="22"/>
          <w:szCs w:val="22"/>
        </w:rPr>
        <w:t xml:space="preserve">Sprint 2 - Extraktion: </w:t>
      </w:r>
      <w:r>
        <w:rPr>
          <w:rFonts w:ascii="Arial" w:cs="Arial" w:eastAsia="Arial" w:hAnsi="Arial"/>
          <w:sz w:val="22"/>
          <w:szCs w:val="22"/>
        </w:rPr>
        <w:t xml:space="preserve">Erweiterung ExtractionService um Ausgangsrechnungs-Template. Neue Felder: customer, servicePeriod, productCategory, billingInterval. ProductMappingService mit initialer aqua-cloud-Konfiguration.</w:t>
      </w:r>
    </w:p>
    <w:p>
      <w:pPr>
        <w:pStyle w:val="ListParagraph"/>
        <w:numPr>
          <w:ilvl w:val="0"/>
          <w:numId w:val="11"/>
        </w:numPr>
        <w:spacing w:after="60"/>
      </w:pPr>
      <w:r>
        <w:rPr>
          <w:rFonts w:ascii="Arial" w:cs="Arial" w:eastAsia="Arial" w:hAnsi="Arial"/>
          <w:b/>
          <w:bCs/>
          <w:sz w:val="22"/>
          <w:szCs w:val="22"/>
        </w:rPr>
        <w:t xml:space="preserve">Sprint 3 - Buchungslogik: </w:t>
      </w:r>
      <w:r>
        <w:rPr>
          <w:rFonts w:ascii="Arial" w:cs="Arial" w:eastAsia="Arial" w:hAnsi="Arial"/>
          <w:sz w:val="22"/>
          <w:szCs w:val="22"/>
        </w:rPr>
        <w:t xml:space="preserve">BookingProposalService fur Ausgangsrechnungen. Lineare Erlosverteilung uber Leistungszeitraum. RevenueScheduleService mit Batch-Job. Validierungsregeln V-01 bis V-10.</w:t>
      </w:r>
    </w:p>
    <w:p>
      <w:pPr>
        <w:pStyle w:val="ListParagraph"/>
        <w:numPr>
          <w:ilvl w:val="0"/>
          <w:numId w:val="11"/>
        </w:numPr>
        <w:spacing w:after="60"/>
      </w:pPr>
      <w:r>
        <w:rPr>
          <w:rFonts w:ascii="Arial" w:cs="Arial" w:eastAsia="Arial" w:hAnsi="Arial"/>
          <w:b/>
          <w:bCs/>
          <w:sz w:val="22"/>
          <w:szCs w:val="22"/>
        </w:rPr>
        <w:t xml:space="preserve">Sprint 4 - Integration &amp; Review: </w:t>
      </w:r>
      <w:r>
        <w:rPr>
          <w:rFonts w:ascii="Arial" w:cs="Arial" w:eastAsia="Arial" w:hAnsi="Arial"/>
          <w:sz w:val="22"/>
          <w:szCs w:val="22"/>
        </w:rPr>
        <w:t xml:space="preserve">Frontend-Anpassungen (Dokumenttyp-Anzeige, Erlosverteilungs-Tabelle). Erweiterte Review-Grunde. End-to-End-Test mit allen 74 aqua-cloud-Rechnungen.</w:t>
      </w:r>
    </w:p>
    <w:p>
      <w:pPr>
        <w:pStyle w:val="Heading2"/>
        <w:spacing w:after="120" w:before="240"/>
      </w:pPr>
      <w:r>
        <w:rPr>
          <w:b/>
          <w:bCs/>
        </w:rPr>
        <w:t xml:space="preserve">7.2 Phase 2: Erweiterungen (Sprint 5-7)</w:t>
      </w:r>
    </w:p>
    <w:p>
      <w:pPr>
        <w:pStyle w:val="ListParagraph"/>
        <w:numPr>
          <w:ilvl w:val="0"/>
          <w:numId w:val="12"/>
        </w:numPr>
        <w:spacing w:after="60"/>
      </w:pPr>
      <w:r>
        <w:rPr>
          <w:rFonts w:ascii="Arial" w:cs="Arial" w:eastAsia="Arial" w:hAnsi="Arial"/>
          <w:b/>
          <w:bCs/>
          <w:sz w:val="22"/>
          <w:szCs w:val="22"/>
        </w:rPr>
        <w:t xml:space="preserve">Sprint 5 - Cashflow-Integration: </w:t>
      </w:r>
      <w:r>
        <w:rPr>
          <w:rFonts w:ascii="Arial" w:cs="Arial" w:eastAsia="Arial" w:hAnsi="Arial"/>
          <w:sz w:val="22"/>
          <w:szCs w:val="22"/>
        </w:rPr>
        <w:t xml:space="preserve">CashflowService implementieren. Anbindung an Bankabgleich. Dashboard-Widgets fur offene Forderungen und Cashflow-Prognose.</w:t>
      </w:r>
    </w:p>
    <w:p>
      <w:pPr>
        <w:pStyle w:val="ListParagraph"/>
        <w:numPr>
          <w:ilvl w:val="0"/>
          <w:numId w:val="12"/>
        </w:numPr>
        <w:spacing w:after="60"/>
      </w:pPr>
      <w:r>
        <w:rPr>
          <w:rFonts w:ascii="Arial" w:cs="Arial" w:eastAsia="Arial" w:hAnsi="Arial"/>
          <w:b/>
          <w:bCs/>
          <w:sz w:val="22"/>
          <w:szCs w:val="22"/>
        </w:rPr>
        <w:t xml:space="preserve">Sprint 6 - Gutschriften &amp; Storno: </w:t>
      </w:r>
      <w:r>
        <w:rPr>
          <w:rFonts w:ascii="Arial" w:cs="Arial" w:eastAsia="Arial" w:hAnsi="Arial"/>
          <w:sz w:val="22"/>
          <w:szCs w:val="22"/>
        </w:rPr>
        <w:t xml:space="preserve">DocumentType CREDIT_NOTE_OUTGOING. Storno-Logik fur RevenueSchedule. Umgang mit Kundigungen.</w:t>
      </w:r>
    </w:p>
    <w:p>
      <w:pPr>
        <w:pStyle w:val="ListParagraph"/>
        <w:numPr>
          <w:ilvl w:val="0"/>
          <w:numId w:val="12"/>
        </w:numPr>
        <w:spacing w:after="60"/>
      </w:pPr>
      <w:r>
        <w:rPr>
          <w:rFonts w:ascii="Arial" w:cs="Arial" w:eastAsia="Arial" w:hAnsi="Arial"/>
          <w:b/>
          <w:bCs/>
          <w:sz w:val="22"/>
          <w:szCs w:val="22"/>
        </w:rPr>
        <w:t xml:space="preserve">Sprint 7 - Reporting &amp; Optimierung: </w:t>
      </w:r>
      <w:r>
        <w:rPr>
          <w:rFonts w:ascii="Arial" w:cs="Arial" w:eastAsia="Arial" w:hAnsi="Arial"/>
          <w:sz w:val="22"/>
          <w:szCs w:val="22"/>
        </w:rPr>
        <w:t xml:space="preserve">Erlosreporting pro Kunde/Produkt/Zeitraum. AI-basierter Klassifikations-Fallback trainieren. Performance-Optimierung Batch-Jobs.</w:t>
      </w:r>
    </w:p>
    <w:p>
      <w:pPr>
        <w:pStyle w:val="Heading2"/>
        <w:spacing w:after="120" w:before="240"/>
      </w:pPr>
      <w:r>
        <w:rPr>
          <w:b/>
          <w:bCs/>
        </w:rPr>
        <w:t xml:space="preserve">7.3 Phase 3: Skalierung (ab Sprint 8)</w:t>
      </w:r>
    </w:p>
    <w:p>
      <w:pPr>
        <w:pStyle w:val="ListParagraph"/>
        <w:numPr>
          <w:ilvl w:val="0"/>
          <w:numId w:val="13"/>
        </w:numPr>
        <w:spacing w:after="60"/>
      </w:pPr>
      <w:r>
        <w:rPr>
          <w:rFonts w:ascii="Arial" w:cs="Arial" w:eastAsia="Arial" w:hAnsi="Arial"/>
          <w:b/>
          <w:bCs/>
          <w:sz w:val="22"/>
          <w:szCs w:val="22"/>
        </w:rPr>
        <w:t xml:space="preserve">Mehrwahrungsfahigkeit: </w:t>
      </w:r>
      <w:r>
        <w:rPr>
          <w:rFonts w:ascii="Arial" w:cs="Arial" w:eastAsia="Arial" w:hAnsi="Arial"/>
          <w:sz w:val="22"/>
          <w:szCs w:val="22"/>
        </w:rPr>
        <w:t xml:space="preserve">Automatische Wechselkursumrechnung fur USD-Rechnungen.</w:t>
      </w:r>
    </w:p>
    <w:p>
      <w:pPr>
        <w:pStyle w:val="ListParagraph"/>
        <w:numPr>
          <w:ilvl w:val="0"/>
          <w:numId w:val="13"/>
        </w:numPr>
        <w:spacing w:after="60"/>
      </w:pPr>
      <w:r>
        <w:rPr>
          <w:rFonts w:ascii="Arial" w:cs="Arial" w:eastAsia="Arial" w:hAnsi="Arial"/>
          <w:b/>
          <w:bCs/>
          <w:sz w:val="22"/>
          <w:szCs w:val="22"/>
        </w:rPr>
        <w:t xml:space="preserve">Weitere Dokumenttypen: </w:t>
      </w:r>
      <w:r>
        <w:rPr>
          <w:rFonts w:ascii="Arial" w:cs="Arial" w:eastAsia="Arial" w:hAnsi="Arial"/>
          <w:sz w:val="22"/>
          <w:szCs w:val="22"/>
        </w:rPr>
        <w:t xml:space="preserve">Angebote, Mahnungen, Vertrage als zusatzliche DocumentTypes.</w:t>
      </w:r>
    </w:p>
    <w:p>
      <w:pPr>
        <w:pStyle w:val="ListParagraph"/>
        <w:numPr>
          <w:ilvl w:val="0"/>
          <w:numId w:val="13"/>
        </w:numPr>
        <w:spacing w:after="60"/>
      </w:pPr>
      <w:r>
        <w:rPr>
          <w:rFonts w:ascii="Arial" w:cs="Arial" w:eastAsia="Arial" w:hAnsi="Arial"/>
          <w:b/>
          <w:bCs/>
          <w:sz w:val="22"/>
          <w:szCs w:val="22"/>
        </w:rPr>
        <w:t xml:space="preserve">Mandantenfahigkeit: </w:t>
      </w:r>
      <w:r>
        <w:rPr>
          <w:rFonts w:ascii="Arial" w:cs="Arial" w:eastAsia="Arial" w:hAnsi="Arial"/>
          <w:sz w:val="22"/>
          <w:szCs w:val="22"/>
        </w:rPr>
        <w:t xml:space="preserve">Konfigurierbare Stammdaten pro Mandant fur die Klassifikation (nicht nur aqua cloud).</w:t>
      </w:r>
    </w:p>
    <w:p>
      <w:pPr>
        <w:pStyle w:val="ListParagraph"/>
        <w:numPr>
          <w:ilvl w:val="0"/>
          <w:numId w:val="13"/>
        </w:numPr>
        <w:spacing w:after="60"/>
      </w:pPr>
      <w:r>
        <w:rPr>
          <w:rFonts w:ascii="Arial" w:cs="Arial" w:eastAsia="Arial" w:hAnsi="Arial"/>
          <w:b/>
          <w:bCs/>
          <w:sz w:val="22"/>
          <w:szCs w:val="22"/>
        </w:rPr>
        <w:t xml:space="preserve">Erlosplanung: </w:t>
      </w:r>
      <w:r>
        <w:rPr>
          <w:rFonts w:ascii="Arial" w:cs="Arial" w:eastAsia="Arial" w:hAnsi="Arial"/>
          <w:sz w:val="22"/>
          <w:szCs w:val="22"/>
        </w:rPr>
        <w:t xml:space="preserve">Forecast auf Basis bestehender Vertrage und historischer Verlangerungsquoten.</w:t>
      </w:r>
    </w:p>
    <w:p>
      <w:pPr>
        <w:spacing w:after="200"/>
      </w:pPr>
    </w:p>
    <w:p>
      <w:pPr>
        <w:pBdr>
          <w:top w:val="single" w:color="2B5797" w:sz="2" w:space="8"/>
        </w:pBdr>
        <w:spacing w:before="400"/>
      </w:pPr>
    </w:p>
    <w:p>
      <w:pPr>
        <w:spacing w:after="120"/>
      </w:pPr>
      <w:r>
        <w:rPr>
          <w:rFonts w:ascii="Arial" w:cs="Arial" w:eastAsia="Arial" w:hAnsi="Arial"/>
          <w:i/>
          <w:iCs/>
          <w:color w:val="666666"/>
          <w:sz w:val="22"/>
          <w:szCs w:val="22"/>
        </w:rPr>
        <w:t xml:space="preserve">Dieses Konzept wurde auf Basis der Analyse von 74 realen Ausgangsrechnungen der aqua cloud GmbH erstellt. </w:t>
      </w:r>
      <w:r>
        <w:rPr>
          <w:rFonts w:ascii="Arial" w:cs="Arial" w:eastAsia="Arial" w:hAnsi="Arial"/>
          <w:i/>
          <w:iCs/>
          <w:color w:val="666666"/>
          <w:sz w:val="22"/>
          <w:szCs w:val="22"/>
        </w:rPr>
        <w:t xml:space="preserve">Es liefert eine umsetzungsnahe Grundlage fur die Erweiterung des Dokumentenprozesses und ist als Entscheidungsvorlage fur die technische und fachliche Abstimmung gedacht.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2" w:space="4"/>
      </w:pBdr>
      <w:tabs>
        <w:tab w:val="right" w:pos="9026"/>
      </w:tabs>
    </w:pPr>
    <w:r>
      <w:rPr>
        <w:rFonts w:ascii="Arial" w:cs="Arial" w:eastAsia="Arial" w:hAnsi="Arial"/>
        <w:color w:val="999999"/>
        <w:sz w:val="18"/>
        <w:szCs w:val="18"/>
      </w:rPr>
      <w:t xml:space="preserve">Konzept: Ausgangsrechnungen</w:t>
    </w:r>
    <w:r>
      <w:rPr>
        <w:rFonts w:ascii="Arial" w:cs="Arial" w:eastAsia="Arial" w:hAnsi="Arial"/>
        <w:color w:val="999999"/>
        <w:sz w:val="18"/>
        <w:szCs w:val="18"/>
      </w:rPr>
      <w:t xml:space="preserve">	aqua cloud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4"/>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2026-03-16T15:49:48.970Z</dcterms:created>
  <dcterms:modified xsi:type="dcterms:W3CDTF">2026-03-16T15:49:48.970Z</dcterms:modified>
</cp:coreProperties>
</file>

<file path=docProps/custom.xml><?xml version="1.0" encoding="utf-8"?>
<Properties xmlns="http://schemas.openxmlformats.org/officeDocument/2006/custom-properties" xmlns:vt="http://schemas.openxmlformats.org/officeDocument/2006/docPropsVTypes"/>
</file>