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Keypiz Level 1（Shared SaaS）</w:t>
        <w:br/>
        <w:t>建置與開發服務建議書</w:t>
      </w:r>
    </w:p>
    <w:p>
      <w:r>
        <w:rPr>
          <w:b/>
        </w:rPr>
        <w:t>提案單位：堂朝數位整合股份有限公司</w:t>
        <w:br/>
      </w:r>
      <w:r>
        <w:rPr>
          <w:b/>
        </w:rPr>
        <w:t>文件版本：V1.0</w:t>
        <w:br/>
      </w:r>
      <w:r>
        <w:t>專案名稱：Keypiz Level 1（Shared SaaS）平台建置暨 GLA 系統移轉專案</w:t>
        <w:br/>
      </w:r>
      <w:r>
        <w:t>（本文件格式與表格樣式對齊 IdP 報價與開發規範）</w:t>
      </w:r>
    </w:p>
    <w:p>
      <w:pPr>
        <w:pStyle w:val="Heading2"/>
      </w:pPr>
      <w:r>
        <w:t>一、專案目標與範圍</w:t>
      </w:r>
    </w:p>
    <w:p>
      <w:r>
        <w:t>本專案依據 IdP 報價與開發規範之格式撰寫，目的在於建置 Keypiz Level 1（Shared SaaS）平台，並完成既有 GLA 系統之資料、API 與 APP 移轉與多租戶改造。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平台建置</w:t>
            </w:r>
          </w:p>
        </w:tc>
        <w:tc>
          <w:tcPr>
            <w:tcW w:type="dxa" w:w="4320"/>
          </w:tcPr>
          <w:p>
            <w:r>
              <w:t>Keypiz Level 1（Shared SaaS）多租戶平台</w:t>
            </w:r>
          </w:p>
        </w:tc>
      </w:tr>
      <w:tr>
        <w:tc>
          <w:tcPr>
            <w:tcW w:type="dxa" w:w="4320"/>
          </w:tcPr>
          <w:p>
            <w:r>
              <w:t>系統移轉</w:t>
            </w:r>
          </w:p>
        </w:tc>
        <w:tc>
          <w:tcPr>
            <w:tcW w:type="dxa" w:w="4320"/>
          </w:tcPr>
          <w:p>
            <w:r>
              <w:t>GLA Firestore → Keypiz RDS</w:t>
            </w:r>
          </w:p>
        </w:tc>
      </w:tr>
      <w:tr>
        <w:tc>
          <w:tcPr>
            <w:tcW w:type="dxa" w:w="4320"/>
          </w:tcPr>
          <w:p>
            <w:r>
              <w:t>API 改造</w:t>
            </w:r>
          </w:p>
        </w:tc>
        <w:tc>
          <w:tcPr>
            <w:tcW w:type="dxa" w:w="4320"/>
          </w:tcPr>
          <w:p>
            <w:r>
              <w:t>既有 GLA API 平台化並支援 tenant_id</w:t>
            </w:r>
          </w:p>
        </w:tc>
      </w:tr>
      <w:tr>
        <w:tc>
          <w:tcPr>
            <w:tcW w:type="dxa" w:w="4320"/>
          </w:tcPr>
          <w:p>
            <w:r>
              <w:t>APP 調整</w:t>
            </w:r>
          </w:p>
        </w:tc>
        <w:tc>
          <w:tcPr>
            <w:tcW w:type="dxa" w:w="4320"/>
          </w:tcPr>
          <w:p>
            <w:r>
              <w:t>GLA APP 呼叫 Keypiz API 與 IdP</w:t>
            </w:r>
          </w:p>
        </w:tc>
      </w:tr>
      <w:tr>
        <w:tc>
          <w:tcPr>
            <w:tcW w:type="dxa" w:w="4320"/>
          </w:tcPr>
          <w:p>
            <w:r>
              <w:t>雲端架構</w:t>
            </w:r>
          </w:p>
        </w:tc>
        <w:tc>
          <w:tcPr>
            <w:tcW w:type="dxa" w:w="4320"/>
          </w:tcPr>
          <w:p>
            <w:r>
              <w:t>AWS Shared VPC / ECS / RDS / S3</w:t>
            </w:r>
          </w:p>
        </w:tc>
      </w:tr>
    </w:tbl>
    <w:p>
      <w:pPr>
        <w:pStyle w:val="Heading2"/>
      </w:pPr>
      <w:r>
        <w:t>二、技術架構與規劃說明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技術項目</w:t>
            </w:r>
          </w:p>
        </w:tc>
        <w:tc>
          <w:tcPr>
            <w:tcW w:type="dxa" w:w="4320"/>
          </w:tcPr>
          <w:p>
            <w:r>
              <w:t>規劃內容</w:t>
            </w:r>
          </w:p>
        </w:tc>
      </w:tr>
      <w:tr>
        <w:tc>
          <w:tcPr>
            <w:tcW w:type="dxa" w:w="4320"/>
          </w:tcPr>
          <w:p>
            <w:r>
              <w:t>後端框架</w:t>
            </w:r>
          </w:p>
        </w:tc>
        <w:tc>
          <w:tcPr>
            <w:tcW w:type="dxa" w:w="4320"/>
          </w:tcPr>
          <w:p>
            <w:r>
              <w:t>PHP 8.x / Laravel</w:t>
            </w:r>
          </w:p>
        </w:tc>
      </w:tr>
      <w:tr>
        <w:tc>
          <w:tcPr>
            <w:tcW w:type="dxa" w:w="4320"/>
          </w:tcPr>
          <w:p>
            <w:r>
              <w:t>運算服務</w:t>
            </w:r>
          </w:p>
        </w:tc>
        <w:tc>
          <w:tcPr>
            <w:tcW w:type="dxa" w:w="4320"/>
          </w:tcPr>
          <w:p>
            <w:r>
              <w:t>AWS ECS（Shared Cluster）</w:t>
            </w:r>
          </w:p>
        </w:tc>
      </w:tr>
      <w:tr>
        <w:tc>
          <w:tcPr>
            <w:tcW w:type="dxa" w:w="4320"/>
          </w:tcPr>
          <w:p>
            <w:r>
              <w:t>資料庫</w:t>
            </w:r>
          </w:p>
        </w:tc>
        <w:tc>
          <w:tcPr>
            <w:tcW w:type="dxa" w:w="4320"/>
          </w:tcPr>
          <w:p>
            <w:r>
              <w:t>Amazon RDS（Shared，tenant_id 隔離）</w:t>
            </w:r>
          </w:p>
        </w:tc>
      </w:tr>
      <w:tr>
        <w:tc>
          <w:tcPr>
            <w:tcW w:type="dxa" w:w="4320"/>
          </w:tcPr>
          <w:p>
            <w:r>
              <w:t>儲存服務</w:t>
            </w:r>
          </w:p>
        </w:tc>
        <w:tc>
          <w:tcPr>
            <w:tcW w:type="dxa" w:w="4320"/>
          </w:tcPr>
          <w:p>
            <w:r>
              <w:t>Amazon S3（Prefix + KMS）</w:t>
            </w:r>
          </w:p>
        </w:tc>
      </w:tr>
      <w:tr>
        <w:tc>
          <w:tcPr>
            <w:tcW w:type="dxa" w:w="4320"/>
          </w:tcPr>
          <w:p>
            <w:r>
              <w:t>身分驗證</w:t>
            </w:r>
          </w:p>
        </w:tc>
        <w:tc>
          <w:tcPr>
            <w:tcW w:type="dxa" w:w="4320"/>
          </w:tcPr>
          <w:p>
            <w:r>
              <w:t>既有 IdP + AWS Cognito</w:t>
            </w:r>
          </w:p>
        </w:tc>
      </w:tr>
      <w:tr>
        <w:tc>
          <w:tcPr>
            <w:tcW w:type="dxa" w:w="4320"/>
          </w:tcPr>
          <w:p>
            <w:r>
              <w:t>資安</w:t>
            </w:r>
          </w:p>
        </w:tc>
        <w:tc>
          <w:tcPr>
            <w:tcW w:type="dxa" w:w="4320"/>
          </w:tcPr>
          <w:p>
            <w:r>
              <w:t>AWS WAF、IAM Least Privilege、CloudWatch</w:t>
            </w:r>
          </w:p>
        </w:tc>
      </w:tr>
    </w:tbl>
    <w:p>
      <w:pPr>
        <w:pStyle w:val="Heading2"/>
      </w:pPr>
      <w:r>
        <w:t>三、報價方案與費用（未稅）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開發週期</w:t>
            </w:r>
          </w:p>
        </w:tc>
        <w:tc>
          <w:tcPr>
            <w:tcW w:type="dxa" w:w="2880"/>
          </w:tcPr>
          <w:p>
            <w:r>
              <w:t>報價金額（未稅）</w:t>
            </w:r>
          </w:p>
        </w:tc>
      </w:tr>
      <w:tr>
        <w:tc>
          <w:tcPr>
            <w:tcW w:type="dxa" w:w="2880"/>
          </w:tcPr>
          <w:p>
            <w:r>
              <w:t>方案 A：Keypiz Level 1 Shared SaaS（含 GLA 系統移轉）</w:t>
            </w:r>
          </w:p>
        </w:tc>
        <w:tc>
          <w:tcPr>
            <w:tcW w:type="dxa" w:w="2880"/>
          </w:tcPr>
          <w:p>
            <w:r>
              <w:t>約 10–12 週（60 工作天）</w:t>
            </w:r>
          </w:p>
        </w:tc>
        <w:tc>
          <w:tcPr>
            <w:tcW w:type="dxa" w:w="2880"/>
          </w:tcPr>
          <w:p>
            <w:r>
              <w:t>NT$3,300,000（±10%）</w:t>
            </w:r>
          </w:p>
        </w:tc>
      </w:tr>
    </w:tbl>
    <w:p>
      <w:r>
        <w:t>本報價不包含 AWS 雲端資源實際使用費用，相關費用將依實際使用量由甲方自行負擔。</w:t>
      </w:r>
    </w:p>
    <w:p>
      <w:pPr>
        <w:pStyle w:val="Heading2"/>
      </w:pPr>
      <w:r>
        <w:t>四、開發合作與治理規範</w:t>
      </w:r>
    </w:p>
    <w:p>
      <w:r>
        <w:t>本專案需求決策由甲方指定之 Product Owner 為唯一窗口；需求確認並凍結後，如有任何異動，須依變更管理流程（CR）另行評估工期與費用。</w:t>
      </w:r>
    </w:p>
    <w:p>
      <w:pPr>
        <w:pStyle w:val="Heading2"/>
      </w:pPr>
      <w:r>
        <w:t>五、時程、驗收與保固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總工期</w:t>
            </w:r>
          </w:p>
        </w:tc>
        <w:tc>
          <w:tcPr>
            <w:tcW w:type="dxa" w:w="4320"/>
          </w:tcPr>
          <w:p>
            <w:r>
              <w:t>約 60 個工作天</w:t>
            </w:r>
          </w:p>
        </w:tc>
      </w:tr>
      <w:tr>
        <w:tc>
          <w:tcPr>
            <w:tcW w:type="dxa" w:w="4320"/>
          </w:tcPr>
          <w:p>
            <w:r>
              <w:t>驗收方式</w:t>
            </w:r>
          </w:p>
        </w:tc>
        <w:tc>
          <w:tcPr>
            <w:tcW w:type="dxa" w:w="4320"/>
          </w:tcPr>
          <w:p>
            <w:r>
              <w:t>依里程碑與驗收條件對照表</w:t>
            </w:r>
          </w:p>
        </w:tc>
      </w:tr>
      <w:tr>
        <w:tc>
          <w:tcPr>
            <w:tcW w:type="dxa" w:w="4320"/>
          </w:tcPr>
          <w:p>
            <w:r>
              <w:t>保固期限</w:t>
            </w:r>
          </w:p>
        </w:tc>
        <w:tc>
          <w:tcPr>
            <w:tcW w:type="dxa" w:w="4320"/>
          </w:tcPr>
          <w:p>
            <w:r>
              <w:t>正式上線後 12 個月（限既有功能 Bug）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99.5%（Level 1）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