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Keypiz Level 1（Shared SaaS）建置與開發服務建議書</w:t>
      </w:r>
    </w:p>
    <w:p>
      <w:r>
        <w:t>提案單位：堂朝數位整合股份有限公司</w:t>
      </w:r>
    </w:p>
    <w:p>
      <w:r>
        <w:t>文件版本：V1.6（100% 對標 IdP 文件結構與表格）</w:t>
      </w:r>
    </w:p>
    <w:p>
      <w:r>
        <w:t>專案名稱：Keypiz Level 1（Shared SaaS）平台建置暨 GLA 系統移轉專案</w:t>
      </w:r>
    </w:p>
    <w:p>
      <w:r>
        <w:t>本文件所有章節、單元、表格與說明方式，完整對標《IdP 報價與開發規範》文件體系。</w:t>
      </w:r>
    </w:p>
    <w:p>
      <w:pPr>
        <w:pStyle w:val="Heading2"/>
      </w:pPr>
      <w:r>
        <w:t>一、專案背景與目標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專案背景</w:t>
            </w:r>
          </w:p>
        </w:tc>
        <w:tc>
          <w:tcPr>
            <w:tcW w:type="dxa" w:w="4320"/>
          </w:tcPr>
          <w:p>
            <w:r>
              <w:t>GLA 平台需轉型為可獨立營運之 SaaS 服務，並納入 Keypiz 架構</w:t>
            </w:r>
          </w:p>
        </w:tc>
      </w:tr>
      <w:tr>
        <w:tc>
          <w:tcPr>
            <w:tcW w:type="dxa" w:w="4320"/>
          </w:tcPr>
          <w:p>
            <w:r>
              <w:t>專案目標</w:t>
            </w:r>
          </w:p>
        </w:tc>
        <w:tc>
          <w:tcPr>
            <w:tcW w:type="dxa" w:w="4320"/>
          </w:tcPr>
          <w:p>
            <w:r>
              <w:t>建置 Keypiz Level 1 Shared SaaS 與完成 GLA 技術移轉</w:t>
            </w:r>
          </w:p>
        </w:tc>
      </w:tr>
      <w:tr>
        <w:tc>
          <w:tcPr>
            <w:tcW w:type="dxa" w:w="4320"/>
          </w:tcPr>
          <w:p>
            <w:r>
              <w:t>服務定位</w:t>
            </w:r>
          </w:p>
        </w:tc>
        <w:tc>
          <w:tcPr>
            <w:tcW w:type="dxa" w:w="4320"/>
          </w:tcPr>
          <w:p>
            <w:r>
              <w:t>Keypiz 為主平台，GLA 為既有租戶之一</w:t>
            </w:r>
          </w:p>
        </w:tc>
      </w:tr>
      <w:tr>
        <w:tc>
          <w:tcPr>
            <w:tcW w:type="dxa" w:w="4320"/>
          </w:tcPr>
          <w:p>
            <w:r>
              <w:t>建置原則</w:t>
            </w:r>
          </w:p>
        </w:tc>
        <w:tc>
          <w:tcPr>
            <w:tcW w:type="dxa" w:w="4320"/>
          </w:tcPr>
          <w:p>
            <w:r>
              <w:t>Shared SaaS、可維運、可擴充</w:t>
            </w:r>
          </w:p>
        </w:tc>
      </w:tr>
    </w:tbl>
    <w:p>
      <w:pPr>
        <w:pStyle w:val="Heading2"/>
      </w:pPr>
      <w:r>
        <w:t>二、專案範圍與交付項目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範圍項目</w:t>
            </w:r>
          </w:p>
        </w:tc>
        <w:tc>
          <w:tcPr>
            <w:tcW w:type="dxa" w:w="4320"/>
          </w:tcPr>
          <w:p>
            <w:r>
              <w:t>內容說明</w:t>
            </w:r>
          </w:p>
        </w:tc>
      </w:tr>
      <w:tr>
        <w:tc>
          <w:tcPr>
            <w:tcW w:type="dxa" w:w="4320"/>
          </w:tcPr>
          <w:p>
            <w:r>
              <w:t>平台核心</w:t>
            </w:r>
          </w:p>
        </w:tc>
        <w:tc>
          <w:tcPr>
            <w:tcW w:type="dxa" w:w="4320"/>
          </w:tcPr>
          <w:p>
            <w:r>
              <w:t>Keypiz Core、租戶管理、多租戶隔離</w:t>
            </w:r>
          </w:p>
        </w:tc>
      </w:tr>
      <w:tr>
        <w:tc>
          <w:tcPr>
            <w:tcW w:type="dxa" w:w="4320"/>
          </w:tcPr>
          <w:p>
            <w:r>
              <w:t>系統移轉</w:t>
            </w:r>
          </w:p>
        </w:tc>
        <w:tc>
          <w:tcPr>
            <w:tcW w:type="dxa" w:w="4320"/>
          </w:tcPr>
          <w:p>
            <w:r>
              <w:t>Firestore → RDS、API 平台化</w:t>
            </w:r>
          </w:p>
        </w:tc>
      </w:tr>
      <w:tr>
        <w:tc>
          <w:tcPr>
            <w:tcW w:type="dxa" w:w="4320"/>
          </w:tcPr>
          <w:p>
            <w:r>
              <w:t>SaaS 商用模組</w:t>
            </w:r>
          </w:p>
        </w:tc>
        <w:tc>
          <w:tcPr>
            <w:tcW w:type="dxa" w:w="4320"/>
          </w:tcPr>
          <w:p>
            <w:r>
              <w:t>租戶申請、訂閱、金流、帳務</w:t>
            </w:r>
          </w:p>
        </w:tc>
      </w:tr>
      <w:tr>
        <w:tc>
          <w:tcPr>
            <w:tcW w:type="dxa" w:w="4320"/>
          </w:tcPr>
          <w:p>
            <w:r>
              <w:t>通訊服務</w:t>
            </w:r>
          </w:p>
        </w:tc>
        <w:tc>
          <w:tcPr>
            <w:tcW w:type="dxa" w:w="4320"/>
          </w:tcPr>
          <w:p>
            <w:r>
              <w:t>SMS、Email、平台通知</w:t>
            </w:r>
          </w:p>
        </w:tc>
      </w:tr>
      <w:tr>
        <w:tc>
          <w:tcPr>
            <w:tcW w:type="dxa" w:w="4320"/>
          </w:tcPr>
          <w:p>
            <w:r>
              <w:t>不包含事項</w:t>
            </w:r>
          </w:p>
        </w:tc>
        <w:tc>
          <w:tcPr>
            <w:tcW w:type="dxa" w:w="4320"/>
          </w:tcPr>
          <w:p>
            <w:r>
              <w:t>流程重設、新功能開發</w:t>
            </w:r>
          </w:p>
        </w:tc>
      </w:tr>
    </w:tbl>
    <w:p>
      <w:pPr>
        <w:pStyle w:val="Heading2"/>
      </w:pPr>
      <w:r>
        <w:t>三、技術架構與系統設計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技術層級</w:t>
            </w:r>
          </w:p>
        </w:tc>
        <w:tc>
          <w:tcPr>
            <w:tcW w:type="dxa" w:w="4320"/>
          </w:tcPr>
          <w:p>
            <w:r>
              <w:t>設計說明</w:t>
            </w:r>
          </w:p>
        </w:tc>
      </w:tr>
      <w:tr>
        <w:tc>
          <w:tcPr>
            <w:tcW w:type="dxa" w:w="4320"/>
          </w:tcPr>
          <w:p>
            <w:r>
              <w:t>後端</w:t>
            </w:r>
          </w:p>
        </w:tc>
        <w:tc>
          <w:tcPr>
            <w:tcW w:type="dxa" w:w="4320"/>
          </w:tcPr>
          <w:p>
            <w:r>
              <w:t>PHP / Laravel</w:t>
            </w:r>
          </w:p>
        </w:tc>
      </w:tr>
      <w:tr>
        <w:tc>
          <w:tcPr>
            <w:tcW w:type="dxa" w:w="4320"/>
          </w:tcPr>
          <w:p>
            <w:r>
              <w:t>運算</w:t>
            </w:r>
          </w:p>
        </w:tc>
        <w:tc>
          <w:tcPr>
            <w:tcW w:type="dxa" w:w="4320"/>
          </w:tcPr>
          <w:p>
            <w:r>
              <w:t>AWS ECS（Shared）</w:t>
            </w:r>
          </w:p>
        </w:tc>
      </w:tr>
      <w:tr>
        <w:tc>
          <w:tcPr>
            <w:tcW w:type="dxa" w:w="4320"/>
          </w:tcPr>
          <w:p>
            <w:r>
              <w:t>資料庫</w:t>
            </w:r>
          </w:p>
        </w:tc>
        <w:tc>
          <w:tcPr>
            <w:tcW w:type="dxa" w:w="4320"/>
          </w:tcPr>
          <w:p>
            <w:r>
              <w:t>Amazon RDS（tenant_id 邏輯隔離）</w:t>
            </w:r>
          </w:p>
        </w:tc>
      </w:tr>
      <w:tr>
        <w:tc>
          <w:tcPr>
            <w:tcW w:type="dxa" w:w="4320"/>
          </w:tcPr>
          <w:p>
            <w:r>
              <w:t>帳號</w:t>
            </w:r>
          </w:p>
        </w:tc>
        <w:tc>
          <w:tcPr>
            <w:tcW w:type="dxa" w:w="4320"/>
          </w:tcPr>
          <w:p>
            <w:r>
              <w:t>IdP + AWS Cognito</w:t>
            </w:r>
          </w:p>
        </w:tc>
      </w:tr>
      <w:tr>
        <w:tc>
          <w:tcPr>
            <w:tcW w:type="dxa" w:w="4320"/>
          </w:tcPr>
          <w:p>
            <w:r>
              <w:t>資安</w:t>
            </w:r>
          </w:p>
        </w:tc>
        <w:tc>
          <w:tcPr>
            <w:tcW w:type="dxa" w:w="4320"/>
          </w:tcPr>
          <w:p>
            <w:r>
              <w:t>IAM、WAF、CloudWatch</w:t>
            </w:r>
          </w:p>
        </w:tc>
      </w:tr>
    </w:tbl>
    <w:p>
      <w:pPr>
        <w:pStyle w:val="Heading2"/>
      </w:pPr>
      <w:r>
        <w:t>四、專案執行階段與驗收標準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階段</w:t>
            </w:r>
          </w:p>
        </w:tc>
        <w:tc>
          <w:tcPr>
            <w:tcW w:type="dxa" w:w="2160"/>
          </w:tcPr>
          <w:p>
            <w:r>
              <w:t>階段說明</w:t>
            </w:r>
          </w:p>
        </w:tc>
        <w:tc>
          <w:tcPr>
            <w:tcW w:type="dxa" w:w="2160"/>
          </w:tcPr>
          <w:p>
            <w:r>
              <w:t>交付項目</w:t>
            </w:r>
          </w:p>
        </w:tc>
        <w:tc>
          <w:tcPr>
            <w:tcW w:type="dxa" w:w="2160"/>
          </w:tcPr>
          <w:p>
            <w:r>
              <w:t>驗收標準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架構與需求凍結</w:t>
            </w:r>
          </w:p>
        </w:tc>
        <w:tc>
          <w:tcPr>
            <w:tcW w:type="dxa" w:w="2160"/>
          </w:tcPr>
          <w:p>
            <w:r>
              <w:t>架構文件、規格文件</w:t>
            </w:r>
          </w:p>
        </w:tc>
        <w:tc>
          <w:tcPr>
            <w:tcW w:type="dxa" w:w="2160"/>
          </w:tcPr>
          <w:p>
            <w:r>
              <w:t>文件經雙方確認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平台核心建置</w:t>
            </w:r>
          </w:p>
        </w:tc>
        <w:tc>
          <w:tcPr>
            <w:tcW w:type="dxa" w:w="2160"/>
          </w:tcPr>
          <w:p>
            <w:r>
              <w:t>Keypiz Core、多租戶</w:t>
            </w:r>
          </w:p>
        </w:tc>
        <w:tc>
          <w:tcPr>
            <w:tcW w:type="dxa" w:w="2160"/>
          </w:tcPr>
          <w:p>
            <w:r>
              <w:t>可建立租戶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GLA 移轉</w:t>
            </w:r>
          </w:p>
        </w:tc>
        <w:tc>
          <w:tcPr>
            <w:tcW w:type="dxa" w:w="2160"/>
          </w:tcPr>
          <w:p>
            <w:r>
              <w:t>資料與 API 移轉</w:t>
            </w:r>
          </w:p>
        </w:tc>
        <w:tc>
          <w:tcPr>
            <w:tcW w:type="dxa" w:w="2160"/>
          </w:tcPr>
          <w:p>
            <w:r>
              <w:t>功能正常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商用模組</w:t>
            </w:r>
          </w:p>
        </w:tc>
        <w:tc>
          <w:tcPr>
            <w:tcW w:type="dxa" w:w="2160"/>
          </w:tcPr>
          <w:p>
            <w:r>
              <w:t>訂閱、金流、帳務</w:t>
            </w:r>
          </w:p>
        </w:tc>
        <w:tc>
          <w:tcPr>
            <w:tcW w:type="dxa" w:w="2160"/>
          </w:tcPr>
          <w:p>
            <w:r>
              <w:t>完成測試交易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上線</w:t>
            </w:r>
          </w:p>
        </w:tc>
        <w:tc>
          <w:tcPr>
            <w:tcW w:type="dxa" w:w="2160"/>
          </w:tcPr>
          <w:p>
            <w:r>
              <w:t>正式部署</w:t>
            </w:r>
          </w:p>
        </w:tc>
        <w:tc>
          <w:tcPr>
            <w:tcW w:type="dxa" w:w="2160"/>
          </w:tcPr>
          <w:p>
            <w:r>
              <w:t>完成 UAT</w:t>
            </w:r>
          </w:p>
        </w:tc>
      </w:tr>
    </w:tbl>
    <w:p>
      <w:pPr>
        <w:pStyle w:val="Heading2"/>
      </w:pPr>
      <w:r>
        <w:t>五、專案時程規劃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總工期</w:t>
            </w:r>
          </w:p>
        </w:tc>
        <w:tc>
          <w:tcPr>
            <w:tcW w:type="dxa" w:w="4320"/>
          </w:tcPr>
          <w:p>
            <w:r>
              <w:t>約 12–14 週</w:t>
            </w:r>
          </w:p>
        </w:tc>
      </w:tr>
      <w:tr>
        <w:tc>
          <w:tcPr>
            <w:tcW w:type="dxa" w:w="4320"/>
          </w:tcPr>
          <w:p>
            <w:r>
              <w:t>開發方式</w:t>
            </w:r>
          </w:p>
        </w:tc>
        <w:tc>
          <w:tcPr>
            <w:tcW w:type="dxa" w:w="4320"/>
          </w:tcPr>
          <w:p>
            <w:r>
              <w:t>階段式交付</w:t>
            </w:r>
          </w:p>
        </w:tc>
      </w:tr>
      <w:tr>
        <w:tc>
          <w:tcPr>
            <w:tcW w:type="dxa" w:w="4320"/>
          </w:tcPr>
          <w:p>
            <w:r>
              <w:t>驗收節點</w:t>
            </w:r>
          </w:p>
        </w:tc>
        <w:tc>
          <w:tcPr>
            <w:tcW w:type="dxa" w:w="4320"/>
          </w:tcPr>
          <w:p>
            <w:r>
              <w:t>各 Phase 完成</w:t>
            </w:r>
          </w:p>
        </w:tc>
      </w:tr>
    </w:tbl>
    <w:p>
      <w:pPr>
        <w:pStyle w:val="Heading2"/>
      </w:pPr>
      <w:r>
        <w:t>六、請款條件與付款里程碑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階段</w:t>
            </w:r>
          </w:p>
        </w:tc>
        <w:tc>
          <w:tcPr>
            <w:tcW w:type="dxa" w:w="2160"/>
          </w:tcPr>
          <w:p>
            <w:r>
              <w:t>請款時點</w:t>
            </w:r>
          </w:p>
        </w:tc>
        <w:tc>
          <w:tcPr>
            <w:tcW w:type="dxa" w:w="2160"/>
          </w:tcPr>
          <w:p>
            <w:r>
              <w:t>比例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</w:tr>
      <w:tr>
        <w:tc>
          <w:tcPr>
            <w:tcW w:type="dxa" w:w="2160"/>
          </w:tcPr>
          <w:p>
            <w:r>
              <w:t>簽約款</w:t>
            </w:r>
          </w:p>
        </w:tc>
        <w:tc>
          <w:tcPr>
            <w:tcW w:type="dxa" w:w="2160"/>
          </w:tcPr>
          <w:p>
            <w:r>
              <w:t>合約簽署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專案啟動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需求凍結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架構完成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平台核心完成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可運作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GLA 移轉完成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資料/API 正確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商用模組完成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訂閱金流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正式上線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結案</w:t>
            </w:r>
          </w:p>
        </w:tc>
      </w:tr>
    </w:tbl>
    <w:p>
      <w:pPr>
        <w:pStyle w:val="Heading2"/>
      </w:pPr>
      <w:r>
        <w:t>七、專案治理與變更管理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需求窗口</w:t>
            </w:r>
          </w:p>
        </w:tc>
        <w:tc>
          <w:tcPr>
            <w:tcW w:type="dxa" w:w="4320"/>
          </w:tcPr>
          <w:p>
            <w:r>
              <w:t>甲方指定單一 PO</w:t>
            </w:r>
          </w:p>
        </w:tc>
      </w:tr>
      <w:tr>
        <w:tc>
          <w:tcPr>
            <w:tcW w:type="dxa" w:w="4320"/>
          </w:tcPr>
          <w:p>
            <w:r>
              <w:t>變更流程</w:t>
            </w:r>
          </w:p>
        </w:tc>
        <w:tc>
          <w:tcPr>
            <w:tcW w:type="dxa" w:w="4320"/>
          </w:tcPr>
          <w:p>
            <w:r>
              <w:t>CR 機制</w:t>
            </w:r>
          </w:p>
        </w:tc>
      </w:tr>
      <w:tr>
        <w:tc>
          <w:tcPr>
            <w:tcW w:type="dxa" w:w="4320"/>
          </w:tcPr>
          <w:p>
            <w:r>
              <w:t>溝通方式</w:t>
            </w:r>
          </w:p>
        </w:tc>
        <w:tc>
          <w:tcPr>
            <w:tcW w:type="dxa" w:w="4320"/>
          </w:tcPr>
          <w:p>
            <w:r>
              <w:t>定期會議</w:t>
            </w:r>
          </w:p>
        </w:tc>
      </w:tr>
    </w:tbl>
    <w:p>
      <w:pPr>
        <w:pStyle w:val="Heading2"/>
      </w:pPr>
      <w:r>
        <w:t>八、保固、SLA 與責任界定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保固</w:t>
            </w:r>
          </w:p>
        </w:tc>
        <w:tc>
          <w:tcPr>
            <w:tcW w:type="dxa" w:w="4320"/>
          </w:tcPr>
          <w:p>
            <w:r>
              <w:t>上線後 12 個月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99.5%（Level 1）</w:t>
            </w:r>
          </w:p>
        </w:tc>
      </w:tr>
      <w:tr>
        <w:tc>
          <w:tcPr>
            <w:tcW w:type="dxa" w:w="4320"/>
          </w:tcPr>
          <w:p>
            <w:r>
              <w:t>責任界定</w:t>
            </w:r>
          </w:p>
        </w:tc>
        <w:tc>
          <w:tcPr>
            <w:tcW w:type="dxa" w:w="4320"/>
          </w:tcPr>
          <w:p>
            <w:r>
              <w:t>僅限本案範圍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