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Keypiz Level 1（Shared SaaS）</w:t>
        <w:br/>
        <w:t>建置與開發服務建議書</w:t>
      </w:r>
    </w:p>
    <w:p>
      <w:r>
        <w:t>提案單位：堂朝數位整合股份有限公司</w:t>
      </w:r>
    </w:p>
    <w:p>
      <w:r>
        <w:t>文件版本：V1.1（對齊 IdP 樣式優化版）</w:t>
      </w:r>
    </w:p>
    <w:p>
      <w:r>
        <w:t>專案名稱：Keypiz Level 1（Shared SaaS）平台建置暨 GLA 系統移轉專案</w:t>
      </w:r>
    </w:p>
    <w:p>
      <w:r>
        <w:t>本文件之章節結構、表格呈現與說明密度，皆比照《IdP 報價與開發規範》文件格式撰寫。</w:t>
      </w:r>
    </w:p>
    <w:p>
      <w:pPr>
        <w:pStyle w:val="Heading2"/>
      </w:pPr>
      <w:r>
        <w:t>一、專案目標與範圍說明</w:t>
      </w:r>
    </w:p>
    <w:p>
      <w:r>
        <w:t>本專案目的在於建置 Keypiz Level 1（Shared SaaS）平台，並將既有 GLA 系統之資料庫、API 與 APP 進行技術移轉與平台化改造，使其符合多租戶（Multi-tenant）SaaS 架構與後續擴充需求。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平台建置目標</w:t>
            </w:r>
          </w:p>
        </w:tc>
        <w:tc>
          <w:tcPr>
            <w:tcW w:type="dxa" w:w="4320"/>
          </w:tcPr>
          <w:p>
            <w:r>
              <w:t>建置 Keypiz Level 1 Shared SaaS 作為主平台</w:t>
            </w:r>
          </w:p>
        </w:tc>
      </w:tr>
      <w:tr>
        <w:tc>
          <w:tcPr>
            <w:tcW w:type="dxa" w:w="4320"/>
          </w:tcPr>
          <w:p>
            <w:r>
              <w:t>服務定位</w:t>
            </w:r>
          </w:p>
        </w:tc>
        <w:tc>
          <w:tcPr>
            <w:tcW w:type="dxa" w:w="4320"/>
          </w:tcPr>
          <w:p>
            <w:r>
              <w:t>GLA 轉為 Keypiz 平台下之既有服務商（Tenant）</w:t>
            </w:r>
          </w:p>
        </w:tc>
      </w:tr>
      <w:tr>
        <w:tc>
          <w:tcPr>
            <w:tcW w:type="dxa" w:w="4320"/>
          </w:tcPr>
          <w:p>
            <w:r>
              <w:t>架構核心</w:t>
            </w:r>
          </w:p>
        </w:tc>
        <w:tc>
          <w:tcPr>
            <w:tcW w:type="dxa" w:w="4320"/>
          </w:tcPr>
          <w:p>
            <w:r>
              <w:t>多租戶邏輯隔離（tenant_id）</w:t>
            </w:r>
          </w:p>
        </w:tc>
      </w:tr>
      <w:tr>
        <w:tc>
          <w:tcPr>
            <w:tcW w:type="dxa" w:w="4320"/>
          </w:tcPr>
          <w:p>
            <w:r>
              <w:t>移轉範圍</w:t>
            </w:r>
          </w:p>
        </w:tc>
        <w:tc>
          <w:tcPr>
            <w:tcW w:type="dxa" w:w="4320"/>
          </w:tcPr>
          <w:p>
            <w:r>
              <w:t>資料庫、API 與 APP 呼叫流程</w:t>
            </w:r>
          </w:p>
        </w:tc>
      </w:tr>
      <w:tr>
        <w:tc>
          <w:tcPr>
            <w:tcW w:type="dxa" w:w="4320"/>
          </w:tcPr>
          <w:p>
            <w:r>
              <w:t>未來擴充</w:t>
            </w:r>
          </w:p>
        </w:tc>
        <w:tc>
          <w:tcPr>
            <w:tcW w:type="dxa" w:w="4320"/>
          </w:tcPr>
          <w:p>
            <w:r>
              <w:t>保留升級至 Level 2 / Level 3 架構彈性</w:t>
            </w:r>
          </w:p>
        </w:tc>
      </w:tr>
    </w:tbl>
    <w:p>
      <w:pPr>
        <w:pStyle w:val="Heading2"/>
      </w:pPr>
      <w:r>
        <w:t>二、技術架構與開發規劃說明</w:t>
      </w:r>
    </w:p>
    <w:p>
      <w:r>
        <w:t>本案技術架構採用雲端原生（Cloud-native）設計原則，並以 Shared SaaS 為基礎，透過應用層進行租戶隔離，避免重複建置基礎設施，以確保維運效率與成本可控。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技術項目</w:t>
            </w:r>
          </w:p>
        </w:tc>
        <w:tc>
          <w:tcPr>
            <w:tcW w:type="dxa" w:w="4320"/>
          </w:tcPr>
          <w:p>
            <w:r>
              <w:t>規劃與必要說明</w:t>
            </w:r>
          </w:p>
        </w:tc>
      </w:tr>
      <w:tr>
        <w:tc>
          <w:tcPr>
            <w:tcW w:type="dxa" w:w="4320"/>
          </w:tcPr>
          <w:p>
            <w:r>
              <w:t>後端框架</w:t>
            </w:r>
          </w:p>
        </w:tc>
        <w:tc>
          <w:tcPr>
            <w:tcW w:type="dxa" w:w="4320"/>
          </w:tcPr>
          <w:p>
            <w:r>
              <w:t>PHP 8.x / Laravel，符合既有團隊技術棧</w:t>
            </w:r>
          </w:p>
        </w:tc>
      </w:tr>
      <w:tr>
        <w:tc>
          <w:tcPr>
            <w:tcW w:type="dxa" w:w="4320"/>
          </w:tcPr>
          <w:p>
            <w:r>
              <w:t>運算服務</w:t>
            </w:r>
          </w:p>
        </w:tc>
        <w:tc>
          <w:tcPr>
            <w:tcW w:type="dxa" w:w="4320"/>
          </w:tcPr>
          <w:p>
            <w:r>
              <w:t>AWS ECS（Shared Cluster），利於集中部署與升級</w:t>
            </w:r>
          </w:p>
        </w:tc>
      </w:tr>
      <w:tr>
        <w:tc>
          <w:tcPr>
            <w:tcW w:type="dxa" w:w="4320"/>
          </w:tcPr>
          <w:p>
            <w:r>
              <w:t>資料庫</w:t>
            </w:r>
          </w:p>
        </w:tc>
        <w:tc>
          <w:tcPr>
            <w:tcW w:type="dxa" w:w="4320"/>
          </w:tcPr>
          <w:p>
            <w:r>
              <w:t>Amazon RDS（Shared Instance），以 tenant_id 進行邏輯隔離</w:t>
            </w:r>
          </w:p>
        </w:tc>
      </w:tr>
      <w:tr>
        <w:tc>
          <w:tcPr>
            <w:tcW w:type="dxa" w:w="4320"/>
          </w:tcPr>
          <w:p>
            <w:r>
              <w:t>儲存服務</w:t>
            </w:r>
          </w:p>
        </w:tc>
        <w:tc>
          <w:tcPr>
            <w:tcW w:type="dxa" w:w="4320"/>
          </w:tcPr>
          <w:p>
            <w:r>
              <w:t>Amazon S3（Prefix + KMS），避免資料混用</w:t>
            </w:r>
          </w:p>
        </w:tc>
      </w:tr>
      <w:tr>
        <w:tc>
          <w:tcPr>
            <w:tcW w:type="dxa" w:w="4320"/>
          </w:tcPr>
          <w:p>
            <w:r>
              <w:t>身分驗證</w:t>
            </w:r>
          </w:p>
        </w:tc>
        <w:tc>
          <w:tcPr>
            <w:tcW w:type="dxa" w:w="4320"/>
          </w:tcPr>
          <w:p>
            <w:r>
              <w:t>既有 IdP 整合 AWS Cognito，統一帳號治理</w:t>
            </w:r>
          </w:p>
        </w:tc>
      </w:tr>
      <w:tr>
        <w:tc>
          <w:tcPr>
            <w:tcW w:type="dxa" w:w="4320"/>
          </w:tcPr>
          <w:p>
            <w:r>
              <w:t>資安設計</w:t>
            </w:r>
          </w:p>
        </w:tc>
        <w:tc>
          <w:tcPr>
            <w:tcW w:type="dxa" w:w="4320"/>
          </w:tcPr>
          <w:p>
            <w:r>
              <w:t>AWS WAF、IAM 最小權限、CloudWatch 監控</w:t>
            </w:r>
          </w:p>
        </w:tc>
      </w:tr>
    </w:tbl>
    <w:p>
      <w:pPr>
        <w:pStyle w:val="Heading2"/>
      </w:pPr>
      <w:r>
        <w:t>三、GLA 系統移轉與平台化說明</w:t>
      </w:r>
    </w:p>
    <w:p>
      <w:r>
        <w:t>GLA 系統為既有運作中之服務，本案以「功能等價移轉、不重新設計流程」為原則，確保系統穩定度並降低移轉風險。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移轉項目</w:t>
            </w:r>
          </w:p>
        </w:tc>
        <w:tc>
          <w:tcPr>
            <w:tcW w:type="dxa" w:w="4320"/>
          </w:tcPr>
          <w:p>
            <w:r>
              <w:t>處理方式說明</w:t>
            </w:r>
          </w:p>
        </w:tc>
      </w:tr>
      <w:tr>
        <w:tc>
          <w:tcPr>
            <w:tcW w:type="dxa" w:w="4320"/>
          </w:tcPr>
          <w:p>
            <w:r>
              <w:t>資料庫移轉</w:t>
            </w:r>
          </w:p>
        </w:tc>
        <w:tc>
          <w:tcPr>
            <w:tcW w:type="dxa" w:w="4320"/>
          </w:tcPr>
          <w:p>
            <w:r>
              <w:t>Firestore 結構盤點後轉換為關聯式資料模型</w:t>
            </w:r>
          </w:p>
        </w:tc>
      </w:tr>
      <w:tr>
        <w:tc>
          <w:tcPr>
            <w:tcW w:type="dxa" w:w="4320"/>
          </w:tcPr>
          <w:p>
            <w:r>
              <w:t>API 改造</w:t>
            </w:r>
          </w:p>
        </w:tc>
        <w:tc>
          <w:tcPr>
            <w:tcW w:type="dxa" w:w="4320"/>
          </w:tcPr>
          <w:p>
            <w:r>
              <w:t>既有 API 改為 tenant-aware 並納入 Keypiz 管理</w:t>
            </w:r>
          </w:p>
        </w:tc>
      </w:tr>
      <w:tr>
        <w:tc>
          <w:tcPr>
            <w:tcW w:type="dxa" w:w="4320"/>
          </w:tcPr>
          <w:p>
            <w:r>
              <w:t>APP 呼叫</w:t>
            </w:r>
          </w:p>
        </w:tc>
        <w:tc>
          <w:tcPr>
            <w:tcW w:type="dxa" w:w="4320"/>
          </w:tcPr>
          <w:p>
            <w:r>
              <w:t>APP 改呼叫 Keypiz API 並使用 IdP Token</w:t>
            </w:r>
          </w:p>
        </w:tc>
      </w:tr>
      <w:tr>
        <w:tc>
          <w:tcPr>
            <w:tcW w:type="dxa" w:w="4320"/>
          </w:tcPr>
          <w:p>
            <w:r>
              <w:t>不包含事項</w:t>
            </w:r>
          </w:p>
        </w:tc>
        <w:tc>
          <w:tcPr>
            <w:tcW w:type="dxa" w:w="4320"/>
          </w:tcPr>
          <w:p>
            <w:r>
              <w:t>不進行新功能或商業流程重設</w:t>
            </w:r>
          </w:p>
        </w:tc>
      </w:tr>
    </w:tbl>
    <w:p>
      <w:pPr>
        <w:pStyle w:val="Heading2"/>
      </w:pPr>
      <w:r>
        <w:t>四、報價方案與費用（未稅）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開發週期</w:t>
            </w:r>
          </w:p>
        </w:tc>
        <w:tc>
          <w:tcPr>
            <w:tcW w:type="dxa" w:w="2880"/>
          </w:tcPr>
          <w:p>
            <w:r>
              <w:t>報價金額</w:t>
            </w:r>
          </w:p>
        </w:tc>
      </w:tr>
      <w:tr>
        <w:tc>
          <w:tcPr>
            <w:tcW w:type="dxa" w:w="2880"/>
          </w:tcPr>
          <w:p>
            <w:r>
              <w:t>方案 A：Keypiz Level 1 Shared SaaS（含 GLA 移轉）</w:t>
            </w:r>
          </w:p>
        </w:tc>
        <w:tc>
          <w:tcPr>
            <w:tcW w:type="dxa" w:w="2880"/>
          </w:tcPr>
          <w:p>
            <w:r>
              <w:t>約 10–12 週（60 工作天）</w:t>
            </w:r>
          </w:p>
        </w:tc>
        <w:tc>
          <w:tcPr>
            <w:tcW w:type="dxa" w:w="2880"/>
          </w:tcPr>
          <w:p>
            <w:r>
              <w:t>NT$3,300,000（±10%）</w:t>
            </w:r>
          </w:p>
        </w:tc>
      </w:tr>
    </w:tbl>
    <w:p>
      <w:r>
        <w:t>本報價不包含 AWS 雲端服務實際使用費，相關費用由甲方依實際用量自行負擔。</w:t>
      </w:r>
    </w:p>
    <w:p>
      <w:pPr>
        <w:pStyle w:val="Heading2"/>
      </w:pPr>
      <w:r>
        <w:t>五、專案治理、時程與保固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需求治理</w:t>
            </w:r>
          </w:p>
        </w:tc>
        <w:tc>
          <w:tcPr>
            <w:tcW w:type="dxa" w:w="4320"/>
          </w:tcPr>
          <w:p>
            <w:r>
              <w:t>甲方指定 Product Owner 為唯一需求窗口</w:t>
            </w:r>
          </w:p>
        </w:tc>
      </w:tr>
      <w:tr>
        <w:tc>
          <w:tcPr>
            <w:tcW w:type="dxa" w:w="4320"/>
          </w:tcPr>
          <w:p>
            <w:r>
              <w:t>變更管理</w:t>
            </w:r>
          </w:p>
        </w:tc>
        <w:tc>
          <w:tcPr>
            <w:tcW w:type="dxa" w:w="4320"/>
          </w:tcPr>
          <w:p>
            <w:r>
              <w:t>需求凍結後異動須依 CR 流程另行評估</w:t>
            </w:r>
          </w:p>
        </w:tc>
      </w:tr>
      <w:tr>
        <w:tc>
          <w:tcPr>
            <w:tcW w:type="dxa" w:w="4320"/>
          </w:tcPr>
          <w:p>
            <w:r>
              <w:t>總工期</w:t>
            </w:r>
          </w:p>
        </w:tc>
        <w:tc>
          <w:tcPr>
            <w:tcW w:type="dxa" w:w="4320"/>
          </w:tcPr>
          <w:p>
            <w:r>
              <w:t>約 60 個工作天</w:t>
            </w:r>
          </w:p>
        </w:tc>
      </w:tr>
      <w:tr>
        <w:tc>
          <w:tcPr>
            <w:tcW w:type="dxa" w:w="4320"/>
          </w:tcPr>
          <w:p>
            <w:r>
              <w:t>驗收依據</w:t>
            </w:r>
          </w:p>
        </w:tc>
        <w:tc>
          <w:tcPr>
            <w:tcW w:type="dxa" w:w="4320"/>
          </w:tcPr>
          <w:p>
            <w:r>
              <w:t>依附件之里程碑與驗收條件</w:t>
            </w:r>
          </w:p>
        </w:tc>
      </w:tr>
      <w:tr>
        <w:tc>
          <w:tcPr>
            <w:tcW w:type="dxa" w:w="4320"/>
          </w:tcPr>
          <w:p>
            <w:r>
              <w:t>保固與 SLA</w:t>
            </w:r>
          </w:p>
        </w:tc>
        <w:tc>
          <w:tcPr>
            <w:tcW w:type="dxa" w:w="4320"/>
          </w:tcPr>
          <w:p>
            <w:r>
              <w:t>上線後 12 個月 Bug 保固，SLA 99.5%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