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213D2" w14:textId="77777777" w:rsidR="008B5B79" w:rsidRPr="006A2F32" w:rsidRDefault="00000000">
      <w:pPr>
        <w:pStyle w:val="1"/>
        <w:jc w:val="center"/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Keypiz Level 1（Shared SaaS）</w:t>
      </w:r>
      <w:r w:rsidRPr="006A2F32">
        <w:rPr>
          <w:rFonts w:ascii="微軟正黑體" w:eastAsia="微軟正黑體" w:hAnsi="微軟正黑體"/>
        </w:rPr>
        <w:br/>
        <w:t>建置與開發服務建議書</w:t>
      </w:r>
    </w:p>
    <w:p w14:paraId="7FFF1C21" w14:textId="77777777" w:rsidR="008B5B79" w:rsidRPr="006A2F32" w:rsidRDefault="00000000">
      <w:pPr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提案單位：堂朝數位整合股份有限公司</w:t>
      </w:r>
    </w:p>
    <w:p w14:paraId="78E70AB5" w14:textId="77777777" w:rsidR="008B5B79" w:rsidRPr="006A2F32" w:rsidRDefault="00000000">
      <w:pPr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文件版本：V1.2（對齊 IdP 樣式｜SaaS 功能擴充版）</w:t>
      </w:r>
    </w:p>
    <w:p w14:paraId="5292B12C" w14:textId="77777777" w:rsidR="008B5B79" w:rsidRPr="006A2F32" w:rsidRDefault="00000000">
      <w:pPr>
        <w:rPr>
          <w:rFonts w:ascii="微軟正黑體" w:eastAsia="微軟正黑體" w:hAnsi="微軟正黑體"/>
          <w:lang w:eastAsia="zh-TW"/>
        </w:rPr>
      </w:pPr>
      <w:r w:rsidRPr="006A2F32">
        <w:rPr>
          <w:rFonts w:ascii="微軟正黑體" w:eastAsia="微軟正黑體" w:hAnsi="微軟正黑體"/>
          <w:lang w:eastAsia="zh-TW"/>
        </w:rPr>
        <w:t>專案名稱：Keypiz Level 1（Shared SaaS）平台建置暨 GLA 系統移轉專案</w:t>
      </w:r>
    </w:p>
    <w:p w14:paraId="60A3C2B8" w14:textId="77777777" w:rsidR="008B5B79" w:rsidRPr="006A2F32" w:rsidRDefault="00000000">
      <w:pPr>
        <w:rPr>
          <w:rFonts w:ascii="微軟正黑體" w:eastAsia="微軟正黑體" w:hAnsi="微軟正黑體"/>
          <w:lang w:eastAsia="zh-TW"/>
        </w:rPr>
      </w:pPr>
      <w:r w:rsidRPr="006A2F32">
        <w:rPr>
          <w:rFonts w:ascii="微軟正黑體" w:eastAsia="微軟正黑體" w:hAnsi="微軟正黑體"/>
          <w:lang w:eastAsia="zh-TW"/>
        </w:rPr>
        <w:t>本文件格式、章節結構與表格樣式，皆比照《IdP 報價與開發規範》文件體系撰寫。</w:t>
      </w:r>
    </w:p>
    <w:p w14:paraId="0571EF9A" w14:textId="77777777" w:rsidR="008B5B79" w:rsidRPr="006A2F32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6A2F32">
        <w:rPr>
          <w:rFonts w:ascii="微軟正黑體" w:eastAsia="微軟正黑體" w:hAnsi="微軟正黑體"/>
          <w:lang w:eastAsia="zh-TW"/>
        </w:rPr>
        <w:t>一、專案目標與範圍說明</w:t>
      </w:r>
    </w:p>
    <w:p w14:paraId="7F01A9DA" w14:textId="77777777" w:rsidR="008B5B79" w:rsidRPr="006A2F32" w:rsidRDefault="00000000">
      <w:pPr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本專案目的在於建置具備完整商用能力之 Keypiz Level 1（Shared SaaS）平台，除既有 GLA 系統移轉外，亦納入 SaaS 平台前台租戶申請、訂閱、金流與平台級訊息服務，使 Keypiz 可作為可獨立營運之 SaaS 服務平台。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5B79" w:rsidRPr="006A2F32" w14:paraId="1046298F" w14:textId="77777777">
        <w:tc>
          <w:tcPr>
            <w:tcW w:w="4320" w:type="dxa"/>
          </w:tcPr>
          <w:p w14:paraId="7DDE1843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項目</w:t>
            </w:r>
          </w:p>
        </w:tc>
        <w:tc>
          <w:tcPr>
            <w:tcW w:w="4320" w:type="dxa"/>
          </w:tcPr>
          <w:p w14:paraId="4C55BD26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說明</w:t>
            </w:r>
          </w:p>
        </w:tc>
      </w:tr>
      <w:tr w:rsidR="008B5B79" w:rsidRPr="006A2F32" w14:paraId="388DCCE4" w14:textId="77777777">
        <w:tc>
          <w:tcPr>
            <w:tcW w:w="4320" w:type="dxa"/>
          </w:tcPr>
          <w:p w14:paraId="6EB502C0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平台定位</w:t>
            </w:r>
          </w:p>
        </w:tc>
        <w:tc>
          <w:tcPr>
            <w:tcW w:w="4320" w:type="dxa"/>
          </w:tcPr>
          <w:p w14:paraId="31377B9C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Keypiz Level 1（Shared SaaS）主平台</w:t>
            </w:r>
          </w:p>
        </w:tc>
      </w:tr>
      <w:tr w:rsidR="008B5B79" w:rsidRPr="006A2F32" w14:paraId="7E7A75B3" w14:textId="77777777">
        <w:tc>
          <w:tcPr>
            <w:tcW w:w="4320" w:type="dxa"/>
          </w:tcPr>
          <w:p w14:paraId="32FA09AA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服務模式</w:t>
            </w:r>
          </w:p>
        </w:tc>
        <w:tc>
          <w:tcPr>
            <w:tcW w:w="4320" w:type="dxa"/>
          </w:tcPr>
          <w:p w14:paraId="3D51997F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多租戶 SaaS（Tenant-based Subscription）</w:t>
            </w:r>
          </w:p>
        </w:tc>
      </w:tr>
      <w:tr w:rsidR="008B5B79" w:rsidRPr="006A2F32" w14:paraId="0B846AE9" w14:textId="77777777">
        <w:tc>
          <w:tcPr>
            <w:tcW w:w="4320" w:type="dxa"/>
          </w:tcPr>
          <w:p w14:paraId="3B0248B1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既有系統</w:t>
            </w:r>
          </w:p>
        </w:tc>
        <w:tc>
          <w:tcPr>
            <w:tcW w:w="4320" w:type="dxa"/>
          </w:tcPr>
          <w:p w14:paraId="61AB8118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GLA 轉為 Keypiz 平台下之既有租戶</w:t>
            </w:r>
          </w:p>
        </w:tc>
      </w:tr>
      <w:tr w:rsidR="008B5B79" w:rsidRPr="006A2F32" w14:paraId="6895DB8D" w14:textId="77777777">
        <w:tc>
          <w:tcPr>
            <w:tcW w:w="4320" w:type="dxa"/>
          </w:tcPr>
          <w:p w14:paraId="7206236A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商用能力</w:t>
            </w:r>
          </w:p>
        </w:tc>
        <w:tc>
          <w:tcPr>
            <w:tcW w:w="4320" w:type="dxa"/>
          </w:tcPr>
          <w:p w14:paraId="7089913E" w14:textId="77777777" w:rsidR="008B5B79" w:rsidRPr="006A2F32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6A2F32">
              <w:rPr>
                <w:rFonts w:ascii="微軟正黑體" w:eastAsia="微軟正黑體" w:hAnsi="微軟正黑體"/>
                <w:lang w:eastAsia="zh-TW"/>
              </w:rPr>
              <w:t>租戶申請、訂閱管理、金流、平台訊息服務</w:t>
            </w:r>
          </w:p>
        </w:tc>
      </w:tr>
      <w:tr w:rsidR="008B5B79" w:rsidRPr="006A2F32" w14:paraId="0722FFE3" w14:textId="77777777">
        <w:tc>
          <w:tcPr>
            <w:tcW w:w="4320" w:type="dxa"/>
          </w:tcPr>
          <w:p w14:paraId="58149CF1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擴充性</w:t>
            </w:r>
          </w:p>
        </w:tc>
        <w:tc>
          <w:tcPr>
            <w:tcW w:w="4320" w:type="dxa"/>
          </w:tcPr>
          <w:p w14:paraId="29D5B8E5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可升級至 Level 2 / Level 3 架構</w:t>
            </w:r>
          </w:p>
        </w:tc>
      </w:tr>
    </w:tbl>
    <w:p w14:paraId="64BF6102" w14:textId="77777777" w:rsidR="008B5B79" w:rsidRPr="006A2F32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6A2F32">
        <w:rPr>
          <w:rFonts w:ascii="微軟正黑體" w:eastAsia="微軟正黑體" w:hAnsi="微軟正黑體"/>
          <w:lang w:eastAsia="zh-TW"/>
        </w:rPr>
        <w:t>二、SaaS 前台與商用功能規劃</w:t>
      </w:r>
    </w:p>
    <w:p w14:paraId="1CF976C0" w14:textId="77777777" w:rsidR="008B5B79" w:rsidRPr="006A2F32" w:rsidRDefault="00000000">
      <w:pPr>
        <w:rPr>
          <w:rFonts w:ascii="微軟正黑體" w:eastAsia="微軟正黑體" w:hAnsi="微軟正黑體"/>
          <w:lang w:eastAsia="zh-TW"/>
        </w:rPr>
      </w:pPr>
      <w:r w:rsidRPr="006A2F32">
        <w:rPr>
          <w:rFonts w:ascii="微軟正黑體" w:eastAsia="微軟正黑體" w:hAnsi="微軟正黑體"/>
          <w:lang w:eastAsia="zh-TW"/>
        </w:rPr>
        <w:t>本案納入 SaaS 平台必要之商用前台功能，以確保平台可獨立對外提供服務並收取訂閱費用。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5B79" w:rsidRPr="006A2F32" w14:paraId="65A8A957" w14:textId="77777777">
        <w:tc>
          <w:tcPr>
            <w:tcW w:w="4320" w:type="dxa"/>
          </w:tcPr>
          <w:p w14:paraId="294D623E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功能模組</w:t>
            </w:r>
          </w:p>
        </w:tc>
        <w:tc>
          <w:tcPr>
            <w:tcW w:w="4320" w:type="dxa"/>
          </w:tcPr>
          <w:p w14:paraId="18BEAABC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規劃與說明</w:t>
            </w:r>
          </w:p>
        </w:tc>
      </w:tr>
      <w:tr w:rsidR="008B5B79" w:rsidRPr="006A2F32" w14:paraId="7C28B8F2" w14:textId="77777777">
        <w:tc>
          <w:tcPr>
            <w:tcW w:w="4320" w:type="dxa"/>
          </w:tcPr>
          <w:p w14:paraId="12754D8B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租戶申請前台</w:t>
            </w:r>
          </w:p>
        </w:tc>
        <w:tc>
          <w:tcPr>
            <w:tcW w:w="4320" w:type="dxa"/>
          </w:tcPr>
          <w:p w14:paraId="392C864B" w14:textId="77777777" w:rsidR="008B5B79" w:rsidRPr="006A2F32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6A2F32">
              <w:rPr>
                <w:rFonts w:ascii="微軟正黑體" w:eastAsia="微軟正黑體" w:hAnsi="微軟正黑體"/>
                <w:lang w:eastAsia="zh-TW"/>
              </w:rPr>
              <w:t>提供服務商線上申請 Keypiz 租戶帳號，含基本資料填寫</w:t>
            </w:r>
          </w:p>
        </w:tc>
      </w:tr>
      <w:tr w:rsidR="008B5B79" w:rsidRPr="006A2F32" w14:paraId="7FC9842E" w14:textId="77777777">
        <w:tc>
          <w:tcPr>
            <w:tcW w:w="4320" w:type="dxa"/>
          </w:tcPr>
          <w:p w14:paraId="414C039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訂閱方案管理</w:t>
            </w:r>
          </w:p>
        </w:tc>
        <w:tc>
          <w:tcPr>
            <w:tcW w:w="4320" w:type="dxa"/>
          </w:tcPr>
          <w:p w14:paraId="1C3386DD" w14:textId="77777777" w:rsidR="008B5B79" w:rsidRPr="006A2F32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6A2F32">
              <w:rPr>
                <w:rFonts w:ascii="微軟正黑體" w:eastAsia="微軟正黑體" w:hAnsi="微軟正黑體"/>
                <w:lang w:eastAsia="zh-TW"/>
              </w:rPr>
              <w:t>支援月/年訂閱方案，並可綁定功能模組</w:t>
            </w:r>
          </w:p>
        </w:tc>
      </w:tr>
      <w:tr w:rsidR="008B5B79" w:rsidRPr="006A2F32" w14:paraId="753F6E51" w14:textId="77777777">
        <w:tc>
          <w:tcPr>
            <w:tcW w:w="4320" w:type="dxa"/>
          </w:tcPr>
          <w:p w14:paraId="70E0C5E1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lastRenderedPageBreak/>
              <w:t>金流整合（平台）</w:t>
            </w:r>
          </w:p>
        </w:tc>
        <w:tc>
          <w:tcPr>
            <w:tcW w:w="4320" w:type="dxa"/>
          </w:tcPr>
          <w:p w14:paraId="7A143B9A" w14:textId="77777777" w:rsidR="008B5B79" w:rsidRPr="006A2F32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6A2F32">
              <w:rPr>
                <w:rFonts w:ascii="微軟正黑體" w:eastAsia="微軟正黑體" w:hAnsi="微軟正黑體"/>
                <w:lang w:eastAsia="zh-TW"/>
              </w:rPr>
              <w:t>整合第三方金流服務（如信用卡），由平台統一收款</w:t>
            </w:r>
          </w:p>
        </w:tc>
      </w:tr>
      <w:tr w:rsidR="008B5B79" w:rsidRPr="006A2F32" w14:paraId="789CACBB" w14:textId="77777777">
        <w:tc>
          <w:tcPr>
            <w:tcW w:w="4320" w:type="dxa"/>
          </w:tcPr>
          <w:p w14:paraId="1D77FE82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多租戶金流管理</w:t>
            </w:r>
          </w:p>
        </w:tc>
        <w:tc>
          <w:tcPr>
            <w:tcW w:w="4320" w:type="dxa"/>
          </w:tcPr>
          <w:p w14:paraId="1F6B760E" w14:textId="77777777" w:rsidR="008B5B79" w:rsidRPr="006A2F32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6A2F32">
              <w:rPr>
                <w:rFonts w:ascii="微軟正黑體" w:eastAsia="微軟正黑體" w:hAnsi="微軟正黑體"/>
                <w:lang w:eastAsia="zh-TW"/>
              </w:rPr>
              <w:t>平台端可區分不同租戶之訂閱、帳務與對帳資料</w:t>
            </w:r>
          </w:p>
        </w:tc>
      </w:tr>
      <w:tr w:rsidR="008B5B79" w:rsidRPr="006A2F32" w14:paraId="4AD5062A" w14:textId="77777777">
        <w:tc>
          <w:tcPr>
            <w:tcW w:w="4320" w:type="dxa"/>
          </w:tcPr>
          <w:p w14:paraId="2D9B843C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帳務紀錄</w:t>
            </w:r>
          </w:p>
        </w:tc>
        <w:tc>
          <w:tcPr>
            <w:tcW w:w="4320" w:type="dxa"/>
          </w:tcPr>
          <w:p w14:paraId="422CC6D7" w14:textId="77777777" w:rsidR="008B5B79" w:rsidRPr="006A2F32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6A2F32">
              <w:rPr>
                <w:rFonts w:ascii="微軟正黑體" w:eastAsia="微軟正黑體" w:hAnsi="微軟正黑體"/>
                <w:lang w:eastAsia="zh-TW"/>
              </w:rPr>
              <w:t>保留訂閱、付款、發票/收據相關紀錄</w:t>
            </w:r>
          </w:p>
        </w:tc>
      </w:tr>
    </w:tbl>
    <w:p w14:paraId="695A4DDA" w14:textId="77777777" w:rsidR="008B5B79" w:rsidRPr="006A2F32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6A2F32">
        <w:rPr>
          <w:rFonts w:ascii="微軟正黑體" w:eastAsia="微軟正黑體" w:hAnsi="微軟正黑體"/>
          <w:lang w:eastAsia="zh-TW"/>
        </w:rPr>
        <w:t>三、平台級通訊與通知服務規劃</w:t>
      </w:r>
    </w:p>
    <w:p w14:paraId="486980CE" w14:textId="77777777" w:rsidR="008B5B79" w:rsidRPr="006A2F32" w:rsidRDefault="00000000">
      <w:pPr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為支援平台營運與服務通知需求，本案納入平台級通訊服務，由 Keypiz 平台統一管理並提供租戶使用。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5B79" w:rsidRPr="006A2F32" w14:paraId="72265147" w14:textId="77777777">
        <w:tc>
          <w:tcPr>
            <w:tcW w:w="4320" w:type="dxa"/>
          </w:tcPr>
          <w:p w14:paraId="127F4C29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服務項目</w:t>
            </w:r>
          </w:p>
        </w:tc>
        <w:tc>
          <w:tcPr>
            <w:tcW w:w="4320" w:type="dxa"/>
          </w:tcPr>
          <w:p w14:paraId="389974E5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說明</w:t>
            </w:r>
          </w:p>
        </w:tc>
      </w:tr>
      <w:tr w:rsidR="008B5B79" w:rsidRPr="006A2F32" w14:paraId="65346CD6" w14:textId="77777777">
        <w:tc>
          <w:tcPr>
            <w:tcW w:w="4320" w:type="dxa"/>
          </w:tcPr>
          <w:p w14:paraId="4308F3B3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SMS 服務</w:t>
            </w:r>
          </w:p>
        </w:tc>
        <w:tc>
          <w:tcPr>
            <w:tcW w:w="4320" w:type="dxa"/>
          </w:tcPr>
          <w:p w14:paraId="4979EAE0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平台整合第三方 SMS 服務，用於驗證碼與通知</w:t>
            </w:r>
          </w:p>
        </w:tc>
      </w:tr>
      <w:tr w:rsidR="008B5B79" w:rsidRPr="006A2F32" w14:paraId="4D5DC4A9" w14:textId="77777777">
        <w:tc>
          <w:tcPr>
            <w:tcW w:w="4320" w:type="dxa"/>
          </w:tcPr>
          <w:p w14:paraId="2740494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SNS / Email</w:t>
            </w:r>
          </w:p>
        </w:tc>
        <w:tc>
          <w:tcPr>
            <w:tcW w:w="4320" w:type="dxa"/>
          </w:tcPr>
          <w:p w14:paraId="6848D69A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平台整合 Email/SNS 發送服務（如系統通知）</w:t>
            </w:r>
          </w:p>
        </w:tc>
      </w:tr>
      <w:tr w:rsidR="008B5B79" w:rsidRPr="006A2F32" w14:paraId="50D9A1D8" w14:textId="77777777">
        <w:tc>
          <w:tcPr>
            <w:tcW w:w="4320" w:type="dxa"/>
          </w:tcPr>
          <w:p w14:paraId="214E64C2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租戶使用管控</w:t>
            </w:r>
          </w:p>
        </w:tc>
        <w:tc>
          <w:tcPr>
            <w:tcW w:w="4320" w:type="dxa"/>
          </w:tcPr>
          <w:p w14:paraId="577C2664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平台可限制與記錄各租戶之訊息使用量</w:t>
            </w:r>
          </w:p>
        </w:tc>
      </w:tr>
      <w:tr w:rsidR="008B5B79" w:rsidRPr="006A2F32" w14:paraId="5FE25227" w14:textId="77777777">
        <w:tc>
          <w:tcPr>
            <w:tcW w:w="4320" w:type="dxa"/>
          </w:tcPr>
          <w:p w14:paraId="4822BB4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費用歸集</w:t>
            </w:r>
          </w:p>
        </w:tc>
        <w:tc>
          <w:tcPr>
            <w:tcW w:w="4320" w:type="dxa"/>
          </w:tcPr>
          <w:p w14:paraId="77785F06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訊息服務費用可依租戶歸集與後續計費</w:t>
            </w:r>
          </w:p>
        </w:tc>
      </w:tr>
    </w:tbl>
    <w:p w14:paraId="08768E71" w14:textId="77777777" w:rsidR="008B5B79" w:rsidRPr="006A2F32" w:rsidRDefault="00000000">
      <w:pPr>
        <w:pStyle w:val="21"/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四、技術架構與開發規劃說明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5B79" w:rsidRPr="006A2F32" w14:paraId="0A5A4986" w14:textId="77777777">
        <w:tc>
          <w:tcPr>
            <w:tcW w:w="4320" w:type="dxa"/>
          </w:tcPr>
          <w:p w14:paraId="47434A96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技術項目</w:t>
            </w:r>
          </w:p>
        </w:tc>
        <w:tc>
          <w:tcPr>
            <w:tcW w:w="4320" w:type="dxa"/>
          </w:tcPr>
          <w:p w14:paraId="7B91258B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規劃說明</w:t>
            </w:r>
          </w:p>
        </w:tc>
      </w:tr>
      <w:tr w:rsidR="008B5B79" w:rsidRPr="006A2F32" w14:paraId="6BAE3E37" w14:textId="77777777">
        <w:tc>
          <w:tcPr>
            <w:tcW w:w="4320" w:type="dxa"/>
          </w:tcPr>
          <w:p w14:paraId="44C34F41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後端框架</w:t>
            </w:r>
          </w:p>
        </w:tc>
        <w:tc>
          <w:tcPr>
            <w:tcW w:w="4320" w:type="dxa"/>
          </w:tcPr>
          <w:p w14:paraId="13C44596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PHP 8.x / Laravel</w:t>
            </w:r>
          </w:p>
        </w:tc>
      </w:tr>
      <w:tr w:rsidR="008B5B79" w:rsidRPr="006A2F32" w14:paraId="7733146A" w14:textId="77777777">
        <w:tc>
          <w:tcPr>
            <w:tcW w:w="4320" w:type="dxa"/>
          </w:tcPr>
          <w:p w14:paraId="1695C310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運算服務</w:t>
            </w:r>
          </w:p>
        </w:tc>
        <w:tc>
          <w:tcPr>
            <w:tcW w:w="4320" w:type="dxa"/>
          </w:tcPr>
          <w:p w14:paraId="0A68F2B1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AWS ECS（Shared Cluster）</w:t>
            </w:r>
          </w:p>
        </w:tc>
      </w:tr>
      <w:tr w:rsidR="008B5B79" w:rsidRPr="006A2F32" w14:paraId="4B0C0CDD" w14:textId="77777777">
        <w:tc>
          <w:tcPr>
            <w:tcW w:w="4320" w:type="dxa"/>
          </w:tcPr>
          <w:p w14:paraId="7DA31579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資料庫</w:t>
            </w:r>
          </w:p>
        </w:tc>
        <w:tc>
          <w:tcPr>
            <w:tcW w:w="4320" w:type="dxa"/>
          </w:tcPr>
          <w:p w14:paraId="747BC39B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Amazon RDS（Shared，tenant_id 隔離）</w:t>
            </w:r>
          </w:p>
        </w:tc>
      </w:tr>
      <w:tr w:rsidR="008B5B79" w:rsidRPr="006A2F32" w14:paraId="6FDBE87A" w14:textId="77777777">
        <w:tc>
          <w:tcPr>
            <w:tcW w:w="4320" w:type="dxa"/>
          </w:tcPr>
          <w:p w14:paraId="2856685B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身分驗證</w:t>
            </w:r>
          </w:p>
        </w:tc>
        <w:tc>
          <w:tcPr>
            <w:tcW w:w="4320" w:type="dxa"/>
          </w:tcPr>
          <w:p w14:paraId="15EE3E62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既有 IdP + AWS Cognito</w:t>
            </w:r>
          </w:p>
        </w:tc>
      </w:tr>
      <w:tr w:rsidR="008B5B79" w:rsidRPr="006A2F32" w14:paraId="44AFA71C" w14:textId="77777777">
        <w:tc>
          <w:tcPr>
            <w:tcW w:w="4320" w:type="dxa"/>
          </w:tcPr>
          <w:p w14:paraId="627276F8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金流</w:t>
            </w:r>
          </w:p>
        </w:tc>
        <w:tc>
          <w:tcPr>
            <w:tcW w:w="4320" w:type="dxa"/>
          </w:tcPr>
          <w:p w14:paraId="5C4B029A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第三方金流 API（平台統一管理）</w:t>
            </w:r>
          </w:p>
        </w:tc>
      </w:tr>
      <w:tr w:rsidR="008B5B79" w:rsidRPr="006A2F32" w14:paraId="01ACB8B5" w14:textId="77777777">
        <w:tc>
          <w:tcPr>
            <w:tcW w:w="4320" w:type="dxa"/>
          </w:tcPr>
          <w:p w14:paraId="21AABCDC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通訊服務</w:t>
            </w:r>
          </w:p>
        </w:tc>
        <w:tc>
          <w:tcPr>
            <w:tcW w:w="4320" w:type="dxa"/>
          </w:tcPr>
          <w:p w14:paraId="2E1BF5A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SMS / Email API（平台級）</w:t>
            </w:r>
          </w:p>
        </w:tc>
      </w:tr>
    </w:tbl>
    <w:p w14:paraId="5A369679" w14:textId="77777777" w:rsidR="008B5B79" w:rsidRPr="006A2F32" w:rsidRDefault="00000000">
      <w:pPr>
        <w:pStyle w:val="21"/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五、報價方案與費用（未稅）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B79" w:rsidRPr="006A2F32" w14:paraId="6525A9F5" w14:textId="77777777">
        <w:tc>
          <w:tcPr>
            <w:tcW w:w="2880" w:type="dxa"/>
          </w:tcPr>
          <w:p w14:paraId="7B378BEE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方案</w:t>
            </w:r>
          </w:p>
        </w:tc>
        <w:tc>
          <w:tcPr>
            <w:tcW w:w="2880" w:type="dxa"/>
          </w:tcPr>
          <w:p w14:paraId="1D00107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開發週期</w:t>
            </w:r>
          </w:p>
        </w:tc>
        <w:tc>
          <w:tcPr>
            <w:tcW w:w="2880" w:type="dxa"/>
          </w:tcPr>
          <w:p w14:paraId="26855BF6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報價金額</w:t>
            </w:r>
          </w:p>
        </w:tc>
      </w:tr>
      <w:tr w:rsidR="008B5B79" w:rsidRPr="006A2F32" w14:paraId="7D2D48DA" w14:textId="77777777">
        <w:tc>
          <w:tcPr>
            <w:tcW w:w="2880" w:type="dxa"/>
          </w:tcPr>
          <w:p w14:paraId="70F601AE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方案 A：Keypiz Level 1 Shared SaaS（含 GLA 移轉與 SaaS 商用模組）</w:t>
            </w:r>
          </w:p>
        </w:tc>
        <w:tc>
          <w:tcPr>
            <w:tcW w:w="2880" w:type="dxa"/>
          </w:tcPr>
          <w:p w14:paraId="28AB5CB5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約 12–14 週（70 工作天）</w:t>
            </w:r>
          </w:p>
        </w:tc>
        <w:tc>
          <w:tcPr>
            <w:tcW w:w="2880" w:type="dxa"/>
          </w:tcPr>
          <w:p w14:paraId="51106631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NT$3,900,000（±10%）</w:t>
            </w:r>
          </w:p>
        </w:tc>
      </w:tr>
    </w:tbl>
    <w:p w14:paraId="4D50D858" w14:textId="77777777" w:rsidR="008B5B79" w:rsidRPr="006A2F32" w:rsidRDefault="00000000">
      <w:pPr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lastRenderedPageBreak/>
        <w:t>本報價不包含第三方金流、SMS、Email 服務實際使用費，相關費用依實際用量由甲方或平台營運方另行負擔。</w:t>
      </w:r>
    </w:p>
    <w:p w14:paraId="31887944" w14:textId="77777777" w:rsidR="008B5B79" w:rsidRPr="006A2F32" w:rsidRDefault="00000000">
      <w:pPr>
        <w:pStyle w:val="21"/>
        <w:rPr>
          <w:rFonts w:ascii="微軟正黑體" w:eastAsia="微軟正黑體" w:hAnsi="微軟正黑體"/>
        </w:rPr>
      </w:pPr>
      <w:r w:rsidRPr="006A2F32">
        <w:rPr>
          <w:rFonts w:ascii="微軟正黑體" w:eastAsia="微軟正黑體" w:hAnsi="微軟正黑體"/>
        </w:rPr>
        <w:t>六、專案治理、時程與保固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5B79" w:rsidRPr="006A2F32" w14:paraId="2CE2C587" w14:textId="77777777">
        <w:tc>
          <w:tcPr>
            <w:tcW w:w="4320" w:type="dxa"/>
          </w:tcPr>
          <w:p w14:paraId="5BA1029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項目</w:t>
            </w:r>
          </w:p>
        </w:tc>
        <w:tc>
          <w:tcPr>
            <w:tcW w:w="4320" w:type="dxa"/>
          </w:tcPr>
          <w:p w14:paraId="4AEE23DD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說明</w:t>
            </w:r>
          </w:p>
        </w:tc>
      </w:tr>
      <w:tr w:rsidR="008B5B79" w:rsidRPr="006A2F32" w14:paraId="00ED53DB" w14:textId="77777777">
        <w:tc>
          <w:tcPr>
            <w:tcW w:w="4320" w:type="dxa"/>
          </w:tcPr>
          <w:p w14:paraId="12C0A9A2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需求治理</w:t>
            </w:r>
          </w:p>
        </w:tc>
        <w:tc>
          <w:tcPr>
            <w:tcW w:w="4320" w:type="dxa"/>
          </w:tcPr>
          <w:p w14:paraId="04385A50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甲方指定 Product Owner 為唯一需求窗口</w:t>
            </w:r>
          </w:p>
        </w:tc>
      </w:tr>
      <w:tr w:rsidR="008B5B79" w:rsidRPr="006A2F32" w14:paraId="791C9C0D" w14:textId="77777777">
        <w:tc>
          <w:tcPr>
            <w:tcW w:w="4320" w:type="dxa"/>
          </w:tcPr>
          <w:p w14:paraId="2BB6B327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變更管理</w:t>
            </w:r>
          </w:p>
        </w:tc>
        <w:tc>
          <w:tcPr>
            <w:tcW w:w="4320" w:type="dxa"/>
          </w:tcPr>
          <w:p w14:paraId="1B03BAA9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需求凍結後異動須依 CR 流程另行評估</w:t>
            </w:r>
          </w:p>
        </w:tc>
      </w:tr>
      <w:tr w:rsidR="008B5B79" w:rsidRPr="006A2F32" w14:paraId="4B271061" w14:textId="77777777">
        <w:tc>
          <w:tcPr>
            <w:tcW w:w="4320" w:type="dxa"/>
          </w:tcPr>
          <w:p w14:paraId="599B9F30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驗收依據</w:t>
            </w:r>
          </w:p>
        </w:tc>
        <w:tc>
          <w:tcPr>
            <w:tcW w:w="4320" w:type="dxa"/>
          </w:tcPr>
          <w:p w14:paraId="4236CB6E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依里程碑與驗收條件附件</w:t>
            </w:r>
          </w:p>
        </w:tc>
      </w:tr>
      <w:tr w:rsidR="008B5B79" w:rsidRPr="006A2F32" w14:paraId="54914FA4" w14:textId="77777777">
        <w:tc>
          <w:tcPr>
            <w:tcW w:w="4320" w:type="dxa"/>
          </w:tcPr>
          <w:p w14:paraId="34AC35C7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保固</w:t>
            </w:r>
          </w:p>
        </w:tc>
        <w:tc>
          <w:tcPr>
            <w:tcW w:w="4320" w:type="dxa"/>
          </w:tcPr>
          <w:p w14:paraId="4D97D348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正式上線後 12 個月（限既有功能 Bug）</w:t>
            </w:r>
          </w:p>
        </w:tc>
      </w:tr>
      <w:tr w:rsidR="008B5B79" w:rsidRPr="006A2F32" w14:paraId="10435728" w14:textId="77777777">
        <w:tc>
          <w:tcPr>
            <w:tcW w:w="4320" w:type="dxa"/>
          </w:tcPr>
          <w:p w14:paraId="65A9224A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SLA</w:t>
            </w:r>
          </w:p>
        </w:tc>
        <w:tc>
          <w:tcPr>
            <w:tcW w:w="4320" w:type="dxa"/>
          </w:tcPr>
          <w:p w14:paraId="24955750" w14:textId="77777777" w:rsidR="008B5B79" w:rsidRPr="006A2F32" w:rsidRDefault="00000000">
            <w:pPr>
              <w:rPr>
                <w:rFonts w:ascii="微軟正黑體" w:eastAsia="微軟正黑體" w:hAnsi="微軟正黑體"/>
              </w:rPr>
            </w:pPr>
            <w:r w:rsidRPr="006A2F32">
              <w:rPr>
                <w:rFonts w:ascii="微軟正黑體" w:eastAsia="微軟正黑體" w:hAnsi="微軟正黑體"/>
              </w:rPr>
              <w:t>99.5%（Level 1）</w:t>
            </w:r>
          </w:p>
        </w:tc>
      </w:tr>
    </w:tbl>
    <w:p w14:paraId="02734AC3" w14:textId="77777777" w:rsidR="004A3F44" w:rsidRPr="006A2F32" w:rsidRDefault="004A3F44">
      <w:pPr>
        <w:rPr>
          <w:rFonts w:ascii="微軟正黑體" w:eastAsia="微軟正黑體" w:hAnsi="微軟正黑體"/>
        </w:rPr>
      </w:pPr>
    </w:p>
    <w:sectPr w:rsidR="004A3F44" w:rsidRPr="006A2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946460">
    <w:abstractNumId w:val="8"/>
  </w:num>
  <w:num w:numId="2" w16cid:durableId="1690763293">
    <w:abstractNumId w:val="6"/>
  </w:num>
  <w:num w:numId="3" w16cid:durableId="274294987">
    <w:abstractNumId w:val="5"/>
  </w:num>
  <w:num w:numId="4" w16cid:durableId="247466327">
    <w:abstractNumId w:val="4"/>
  </w:num>
  <w:num w:numId="5" w16cid:durableId="379326750">
    <w:abstractNumId w:val="7"/>
  </w:num>
  <w:num w:numId="6" w16cid:durableId="397169073">
    <w:abstractNumId w:val="3"/>
  </w:num>
  <w:num w:numId="7" w16cid:durableId="488177978">
    <w:abstractNumId w:val="2"/>
  </w:num>
  <w:num w:numId="8" w16cid:durableId="2045935133">
    <w:abstractNumId w:val="1"/>
  </w:num>
  <w:num w:numId="9" w16cid:durableId="143308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601"/>
    <w:rsid w:val="004A3F44"/>
    <w:rsid w:val="006A2F32"/>
    <w:rsid w:val="008B5B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BFD90"/>
  <w14:defaultImageDpi w14:val="300"/>
  <w15:docId w15:val="{BB8B74C5-2253-43AE-925C-C8DB8640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子竣 Tommy 簡</cp:lastModifiedBy>
  <cp:revision>2</cp:revision>
  <dcterms:created xsi:type="dcterms:W3CDTF">2013-12-23T23:15:00Z</dcterms:created>
  <dcterms:modified xsi:type="dcterms:W3CDTF">2026-02-06T05:35:00Z</dcterms:modified>
  <cp:category/>
</cp:coreProperties>
</file>