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Keypiz Level 1（Shared SaaS）</w:t>
        <w:br/>
        <w:t>建置與開發服務建議書</w:t>
      </w:r>
    </w:p>
    <w:p>
      <w:r>
        <w:t>提案單位：堂朝數位整合股份有限公司</w:t>
      </w:r>
    </w:p>
    <w:p>
      <w:r>
        <w:t>文件版本：V1.3（對齊 IdP 樣式｜含驗收與請款機制）</w:t>
      </w:r>
    </w:p>
    <w:p>
      <w:r>
        <w:t>專案名稱：Keypiz Level 1（Shared SaaS）平台建置暨 GLA 系統移轉專案</w:t>
      </w:r>
    </w:p>
    <w:p>
      <w:r>
        <w:t>本文件格式、章節結構與表格樣式，皆比照《IdP 報價與開發規範》文件體系撰寫。</w:t>
      </w:r>
    </w:p>
    <w:p>
      <w:pPr>
        <w:pStyle w:val="Heading2"/>
      </w:pPr>
      <w:r>
        <w:t>一、專案目標與範圍說明</w:t>
      </w:r>
    </w:p>
    <w:p>
      <w:r>
        <w:t>本專案目的在於建置可獨立營運之 Keypiz Level 1（Shared SaaS）平台，並完成既有 GLA 系統之資料庫、API 與 APP 移轉與多租戶化改造，同時納入 SaaS 商用所需之訂閱、金流與平台級通訊服務。</w:t>
      </w:r>
    </w:p>
    <w:p>
      <w:pPr>
        <w:pStyle w:val="Heading2"/>
      </w:pPr>
      <w:r>
        <w:t>二、專案階段劃分與交付內容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階段</w:t>
            </w:r>
          </w:p>
        </w:tc>
        <w:tc>
          <w:tcPr>
            <w:tcW w:type="dxa" w:w="2880"/>
          </w:tcPr>
          <w:p>
            <w:r>
              <w:t>主要交付項目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架構與需求凍結</w:t>
            </w:r>
          </w:p>
        </w:tc>
        <w:tc>
          <w:tcPr>
            <w:tcW w:type="dxa" w:w="2880"/>
          </w:tcPr>
          <w:p>
            <w:r>
              <w:t>完成整體架構、租戶模型與功能範圍確認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Keypiz Core 與多租戶機制</w:t>
            </w:r>
          </w:p>
        </w:tc>
        <w:tc>
          <w:tcPr>
            <w:tcW w:type="dxa" w:w="2880"/>
          </w:tcPr>
          <w:p>
            <w:r>
              <w:t>完成 Shared SaaS 核心與 tenant_id 隔離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GLA 系統移轉</w:t>
            </w:r>
          </w:p>
        </w:tc>
        <w:tc>
          <w:tcPr>
            <w:tcW w:type="dxa" w:w="2880"/>
          </w:tcPr>
          <w:p>
            <w:r>
              <w:t>完成 Firestore → RDS 資料移轉與 API 平台化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SaaS 商用模組</w:t>
            </w:r>
          </w:p>
        </w:tc>
        <w:tc>
          <w:tcPr>
            <w:tcW w:type="dxa" w:w="2880"/>
          </w:tcPr>
          <w:p>
            <w:r>
              <w:t>完成租戶申請、訂閱、金流與帳務模組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整合測試與正式上線</w:t>
            </w:r>
          </w:p>
        </w:tc>
        <w:tc>
          <w:tcPr>
            <w:tcW w:type="dxa" w:w="2880"/>
          </w:tcPr>
          <w:p>
            <w:r>
              <w:t>完成整合測試並部署正式環境</w:t>
            </w:r>
          </w:p>
        </w:tc>
      </w:tr>
    </w:tbl>
    <w:p>
      <w:pPr>
        <w:pStyle w:val="Heading2"/>
      </w:pPr>
      <w:r>
        <w:t>三、階段驗收標準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階段</w:t>
            </w:r>
          </w:p>
        </w:tc>
        <w:tc>
          <w:tcPr>
            <w:tcW w:type="dxa" w:w="2880"/>
          </w:tcPr>
          <w:p>
            <w:r>
              <w:t>驗收內容</w:t>
            </w:r>
          </w:p>
        </w:tc>
        <w:tc>
          <w:tcPr>
            <w:tcW w:type="dxa" w:w="2880"/>
          </w:tcPr>
          <w:p>
            <w:r>
              <w:t>驗收標準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架構與規格文件</w:t>
            </w:r>
          </w:p>
        </w:tc>
        <w:tc>
          <w:tcPr>
            <w:tcW w:type="dxa" w:w="2880"/>
          </w:tcPr>
          <w:p>
            <w:r>
              <w:t>文件經甲乙雙方書面確認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多租戶核心功能</w:t>
            </w:r>
          </w:p>
        </w:tc>
        <w:tc>
          <w:tcPr>
            <w:tcW w:type="dxa" w:w="2880"/>
          </w:tcPr>
          <w:p>
            <w:r>
              <w:t>可建立多租戶並正常操作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GLA 移轉結果</w:t>
            </w:r>
          </w:p>
        </w:tc>
        <w:tc>
          <w:tcPr>
            <w:tcW w:type="dxa" w:w="2880"/>
          </w:tcPr>
          <w:p>
            <w:r>
              <w:t>資料筆數與抽樣檢核正確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訂閱與金流功能</w:t>
            </w:r>
          </w:p>
        </w:tc>
        <w:tc>
          <w:tcPr>
            <w:tcW w:type="dxa" w:w="2880"/>
          </w:tcPr>
          <w:p>
            <w:r>
              <w:t>完成實際測試交易與帳務紀錄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正式環境上線</w:t>
            </w:r>
          </w:p>
        </w:tc>
        <w:tc>
          <w:tcPr>
            <w:tcW w:type="dxa" w:w="2880"/>
          </w:tcPr>
          <w:p>
            <w:r>
              <w:t>完成 UAT 並正式對外服務</w:t>
            </w:r>
          </w:p>
        </w:tc>
      </w:tr>
    </w:tbl>
    <w:p>
      <w:pPr>
        <w:pStyle w:val="Heading2"/>
      </w:pPr>
      <w:r>
        <w:t>四、請款條件與付款里程碑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階段</w:t>
            </w:r>
          </w:p>
        </w:tc>
        <w:tc>
          <w:tcPr>
            <w:tcW w:type="dxa" w:w="2160"/>
          </w:tcPr>
          <w:p>
            <w:r>
              <w:t>請款時點</w:t>
            </w:r>
          </w:p>
        </w:tc>
        <w:tc>
          <w:tcPr>
            <w:tcW w:type="dxa" w:w="2160"/>
          </w:tcPr>
          <w:p>
            <w:r>
              <w:t>請款比例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專案啟動並完成需求凍結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專案正式啟動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多租戶核心完成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Keypiz Core 可運作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GLA 系統移轉完成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完成資料與 API 移轉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SaaS 商用模組完成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訂閱與金流功能可用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正式上線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完成最終驗收</w:t>
            </w:r>
          </w:p>
        </w:tc>
      </w:tr>
    </w:tbl>
    <w:p>
      <w:r>
        <w:t>乙方於各階段驗收完成後，得依上述比例向甲方提出請款申請。</w:t>
      </w:r>
    </w:p>
    <w:p>
      <w:pPr>
        <w:pStyle w:val="Heading2"/>
      </w:pPr>
      <w:r>
        <w:t>五、專案治理、保固與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需求治理</w:t>
            </w:r>
          </w:p>
        </w:tc>
        <w:tc>
          <w:tcPr>
            <w:tcW w:type="dxa" w:w="4320"/>
          </w:tcPr>
          <w:p>
            <w:r>
              <w:t>甲方指定 Product Owner 為唯一需求窗口</w:t>
            </w:r>
          </w:p>
        </w:tc>
      </w:tr>
      <w:tr>
        <w:tc>
          <w:tcPr>
            <w:tcW w:type="dxa" w:w="4320"/>
          </w:tcPr>
          <w:p>
            <w:r>
              <w:t>變更管理</w:t>
            </w:r>
          </w:p>
        </w:tc>
        <w:tc>
          <w:tcPr>
            <w:tcW w:type="dxa" w:w="4320"/>
          </w:tcPr>
          <w:p>
            <w:r>
              <w:t>需求凍結後異動須依 CR 流程另行評估</w:t>
            </w:r>
          </w:p>
        </w:tc>
      </w:tr>
      <w:tr>
        <w:tc>
          <w:tcPr>
            <w:tcW w:type="dxa" w:w="4320"/>
          </w:tcPr>
          <w:p>
            <w:r>
              <w:t>保固</w:t>
            </w:r>
          </w:p>
        </w:tc>
        <w:tc>
          <w:tcPr>
            <w:tcW w:type="dxa" w:w="4320"/>
          </w:tcPr>
          <w:p>
            <w:r>
              <w:t>正式上線後 12 個月（限既有功能 Bug）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Level 1 平台可用度 99.5%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