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60"/>
        <w:jc w:val="left"/>
      </w:pPr>
      <w:r>
        <w:rPr>
          <w:rFonts w:ascii="Arial" w:cs="Arial" w:eastAsia="Arial" w:hAnsi="Arial"/>
          <w:b/>
          <w:bCs/>
          <w:color w:val="E86A2D"/>
          <w:spacing w:val="120"/>
          <w:sz w:val="22"/>
          <w:szCs w:val="22"/>
        </w:rPr>
        <w:t xml:space="preserve">RESEARCH BRIEF</w:t>
      </w:r>
    </w:p>
    <w:p>
      <w:pPr>
        <w:pBdr>
          <w:bottom w:val="single" w:color="E86A2D" w:sz="12" w:space="8"/>
        </w:pBdr>
        <w:spacing w:before="0" w:after="200"/>
        <w:jc w:val="left"/>
      </w:pPr>
      <w:r>
        <w:rPr>
          <w:rFonts w:ascii="Arial" w:cs="Arial" w:eastAsia="Arial" w:hAnsi="Arial"/>
          <w:b/>
          <w:bCs/>
          <w:color w:val="1A2B3C"/>
          <w:sz w:val="52"/>
          <w:szCs w:val="52"/>
        </w:rPr>
        <w:t xml:space="preserve">Influencer &amp; Creator Video on </w:t>
      </w:r>
      <w:r>
        <w:rPr>
          <w:rFonts w:ascii="Arial" w:cs="Arial" w:eastAsia="Arial" w:hAnsi="Arial"/>
          <w:b/>
          <w:bCs/>
          <w:color w:val="2D6A9B"/>
          <w:sz w:val="52"/>
          <w:szCs w:val="52"/>
        </w:rPr>
        <w:t xml:space="preserve">Product Pages</w:t>
      </w:r>
    </w:p>
    <w:p>
      <w:pPr>
        <w:spacing w:before="120" w:after="0"/>
      </w:pPr>
      <w:r>
        <w:t xml:space="preserve"/>
      </w:r>
    </w:p>
    <w:p>
      <w:pPr>
        <w:spacing w:before="0" w:after="80"/>
        <w:jc w:val="left"/>
      </w:pPr>
      <w:r>
        <w:rPr>
          <w:rFonts w:ascii="Arial" w:cs="Arial" w:eastAsia="Arial" w:hAnsi="Arial"/>
          <w:color w:val="6B7B8D"/>
          <w:sz w:val="26"/>
          <w:szCs w:val="26"/>
        </w:rPr>
        <w:t xml:space="preserve">Impact on Conversion Rate, Add-to-Cart, Revenue &amp; Purchase Behavior</w:t>
      </w:r>
    </w:p>
    <w:p>
      <w:pPr>
        <w:spacing w:before="6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2D6A9B" w:val="clear"/>
            <w:tcMar>
              <w:top w:type="dxa" w:w="160"/>
              <w:left w:type="dxa" w:w="140"/>
              <w:bottom w:type="dxa" w:w="160"/>
              <w:right w:type="dxa" w:w="140"/>
            </w:tcMar>
            <w:vAlign w:val="center"/>
          </w:tcPr>
          <w:p>
            <w:pPr>
              <w:spacing w:before="0" w:after="40"/>
              <w:jc w:val="center"/>
            </w:pPr>
            <w:r>
              <w:rPr>
                <w:rFonts w:ascii="Arial" w:cs="Arial" w:eastAsia="Arial" w:hAnsi="Arial"/>
                <w:b/>
                <w:bCs/>
                <w:color w:val="FFFFFF"/>
                <w:sz w:val="48"/>
                <w:szCs w:val="48"/>
              </w:rPr>
              <w:t xml:space="preserve">201%</w:t>
            </w:r>
          </w:p>
          <w:p>
            <w:pPr>
              <w:spacing w:before="0" w:after="0"/>
              <w:jc w:val="center"/>
            </w:pPr>
            <w:r>
              <w:rPr>
                <w:rFonts w:ascii="Arial" w:cs="Arial" w:eastAsia="Arial" w:hAnsi="Arial"/>
                <w:color w:val="C5DCF0"/>
                <w:sz w:val="16"/>
                <w:szCs w:val="16"/>
              </w:rPr>
              <w:t xml:space="preserve">CVR lift,
video vs. text social proof</w:t>
            </w:r>
          </w:p>
        </w:tc>
        <w:tc>
          <w:tcPr>
            <w:tcW w:type="dxa" w:w="2340"/>
            <w:tcBorders>
              <w:top w:val="none" w:color="FFFFFF" w:sz="0"/>
              <w:left w:val="none" w:color="FFFFFF" w:sz="0"/>
              <w:bottom w:val="none" w:color="FFFFFF" w:sz="0"/>
              <w:right w:val="none" w:color="FFFFFF" w:sz="0"/>
            </w:tcBorders>
            <w:shd w:fill="2D6A9B" w:val="clear"/>
            <w:tcMar>
              <w:top w:type="dxa" w:w="160"/>
              <w:left w:type="dxa" w:w="140"/>
              <w:bottom w:type="dxa" w:w="160"/>
              <w:right w:type="dxa" w:w="140"/>
            </w:tcMar>
            <w:vAlign w:val="center"/>
          </w:tcPr>
          <w:p>
            <w:pPr>
              <w:spacing w:before="0" w:after="40"/>
              <w:jc w:val="center"/>
            </w:pPr>
            <w:r>
              <w:rPr>
                <w:rFonts w:ascii="Arial" w:cs="Arial" w:eastAsia="Arial" w:hAnsi="Arial"/>
                <w:b/>
                <w:bCs/>
                <w:color w:val="FFFFFF"/>
                <w:sz w:val="48"/>
                <w:szCs w:val="48"/>
              </w:rPr>
              <w:t xml:space="preserve">108%</w:t>
            </w:r>
          </w:p>
          <w:p>
            <w:pPr>
              <w:spacing w:before="0" w:after="0"/>
              <w:jc w:val="center"/>
            </w:pPr>
            <w:r>
              <w:rPr>
                <w:rFonts w:ascii="Arial" w:cs="Arial" w:eastAsia="Arial" w:hAnsi="Arial"/>
                <w:color w:val="C5DCF0"/>
                <w:sz w:val="16"/>
                <w:szCs w:val="16"/>
              </w:rPr>
              <w:t xml:space="preserve">lift when users
interact with video UGC</w:t>
            </w:r>
          </w:p>
        </w:tc>
        <w:tc>
          <w:tcPr>
            <w:tcW w:type="dxa" w:w="2340"/>
            <w:tcBorders>
              <w:top w:val="none" w:color="FFFFFF" w:sz="0"/>
              <w:left w:val="none" w:color="FFFFFF" w:sz="0"/>
              <w:bottom w:val="none" w:color="FFFFFF" w:sz="0"/>
              <w:right w:val="none" w:color="FFFFFF" w:sz="0"/>
            </w:tcBorders>
            <w:shd w:fill="2D6A9B" w:val="clear"/>
            <w:tcMar>
              <w:top w:type="dxa" w:w="160"/>
              <w:left w:type="dxa" w:w="140"/>
              <w:bottom w:type="dxa" w:w="160"/>
              <w:right w:type="dxa" w:w="140"/>
            </w:tcMar>
            <w:vAlign w:val="center"/>
          </w:tcPr>
          <w:p>
            <w:pPr>
              <w:spacing w:before="0" w:after="40"/>
              <w:jc w:val="center"/>
            </w:pPr>
            <w:r>
              <w:rPr>
                <w:rFonts w:ascii="Arial" w:cs="Arial" w:eastAsia="Arial" w:hAnsi="Arial"/>
                <w:b/>
                <w:bCs/>
                <w:color w:val="FFFFFF"/>
                <w:sz w:val="48"/>
                <w:szCs w:val="48"/>
              </w:rPr>
              <w:t xml:space="preserve">+26%</w:t>
            </w:r>
          </w:p>
          <w:p>
            <w:pPr>
              <w:spacing w:before="0" w:after="0"/>
              <w:jc w:val="center"/>
            </w:pPr>
            <w:r>
              <w:rPr>
                <w:rFonts w:ascii="Arial" w:cs="Arial" w:eastAsia="Arial" w:hAnsi="Arial"/>
                <w:color w:val="C5DCF0"/>
                <w:sz w:val="16"/>
                <w:szCs w:val="16"/>
              </w:rPr>
              <w:t xml:space="preserve">revenue lift,
A/B tested supplement brand</w:t>
            </w:r>
          </w:p>
        </w:tc>
        <w:tc>
          <w:tcPr>
            <w:tcW w:type="dxa" w:w="2340"/>
            <w:tcBorders>
              <w:top w:val="none" w:color="FFFFFF" w:sz="0"/>
              <w:left w:val="none" w:color="FFFFFF" w:sz="0"/>
              <w:bottom w:val="none" w:color="FFFFFF" w:sz="0"/>
              <w:right w:val="none" w:color="FFFFFF" w:sz="0"/>
            </w:tcBorders>
            <w:shd w:fill="2D6A9B" w:val="clear"/>
            <w:tcMar>
              <w:top w:type="dxa" w:w="160"/>
              <w:left w:type="dxa" w:w="140"/>
              <w:bottom w:type="dxa" w:w="160"/>
              <w:right w:type="dxa" w:w="140"/>
            </w:tcMar>
            <w:vAlign w:val="center"/>
          </w:tcPr>
          <w:p>
            <w:pPr>
              <w:spacing w:before="0" w:after="40"/>
              <w:jc w:val="center"/>
            </w:pPr>
            <w:r>
              <w:rPr>
                <w:rFonts w:ascii="Arial" w:cs="Arial" w:eastAsia="Arial" w:hAnsi="Arial"/>
                <w:b/>
                <w:bCs/>
                <w:color w:val="FFFFFF"/>
                <w:sz w:val="48"/>
                <w:szCs w:val="48"/>
              </w:rPr>
              <w:t xml:space="preserve">3×</w:t>
            </w:r>
          </w:p>
          <w:p>
            <w:pPr>
              <w:spacing w:before="0" w:after="0"/>
              <w:jc w:val="center"/>
            </w:pPr>
            <w:r>
              <w:rPr>
                <w:rFonts w:ascii="Arial" w:cs="Arial" w:eastAsia="Arial" w:hAnsi="Arial"/>
                <w:color w:val="C5DCF0"/>
                <w:sz w:val="16"/>
                <w:szCs w:val="16"/>
              </w:rPr>
              <w:t xml:space="preserve">higher CVR in
food/supplement category</w:t>
            </w:r>
          </w:p>
        </w:tc>
      </w:tr>
    </w:tbl>
    <w:p>
      <w:pPr>
        <w:spacing w:before="600" w:after="0"/>
      </w:pPr>
      <w:r>
        <w:t xml:space="preserve"/>
      </w:r>
    </w:p>
    <w:p>
      <w:pPr>
        <w:spacing w:before="0" w:after="40"/>
        <w:jc w:val="left"/>
      </w:pPr>
      <w:r>
        <w:rPr>
          <w:rFonts w:ascii="Arial" w:cs="Arial" w:eastAsia="Arial" w:hAnsi="Arial"/>
          <w:b/>
          <w:bCs/>
          <w:color w:val="1A2B3C"/>
          <w:sz w:val="22"/>
          <w:szCs w:val="22"/>
        </w:rPr>
        <w:t xml:space="preserve">Prepared for: Just Ingredients</w:t>
      </w:r>
    </w:p>
    <w:p>
      <w:pPr>
        <w:jc w:val="left"/>
      </w:pPr>
      <w:r>
        <w:rPr>
          <w:rFonts w:ascii="Arial" w:cs="Arial" w:eastAsia="Arial" w:hAnsi="Arial"/>
          <w:color w:val="6B7B8D"/>
          <w:sz w:val="18"/>
          <w:szCs w:val="18"/>
        </w:rPr>
        <w:t xml:space="preserve">Sources: Marketing Experiments, PowerReviews, Bazaarvoice/Forrester, Videowise, Bambuser, Firework, Flowbox, Yotpo, Skeepers, Invesp, GrowthRock, Zipify &amp; academic research</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9B" w:val="clear"/>
            <w:tcMar>
              <w:top w:type="dxa" w:w="120"/>
              <w:left w:type="dxa" w:w="240"/>
              <w:bottom w:type="dxa" w:w="120"/>
              <w:right w:type="dxa" w:w="240"/>
            </w:tcMar>
          </w:tcPr>
          <w:p>
            <w:r>
              <w:rPr>
                <w:rFonts w:ascii="Arial" w:cs="Arial" w:eastAsia="Arial" w:hAnsi="Arial"/>
                <w:b/>
                <w:bCs/>
                <w:color w:val="FFFFFF"/>
                <w:sz w:val="24"/>
                <w:szCs w:val="24"/>
              </w:rPr>
              <w:t xml:space="preserve">PART 1: ANCHOR STUDIES — SAME OR NEAR VERTICAL</w:t>
            </w:r>
          </w:p>
        </w:tc>
      </w:tr>
    </w:tbl>
    <w:p>
      <w:pPr>
        <w:spacing w:before="120" w:after="0"/>
      </w:pPr>
      <w:r>
        <w:t xml:space="preserve"/>
      </w:r>
    </w:p>
    <w:p>
      <w:pPr>
        <w:pStyle w:val="Heading2"/>
        <w:pBdr>
          <w:bottom w:val="single" w:color="C5DCF0" w:sz="4" w:space="4"/>
        </w:pBdr>
        <w:spacing w:before="280" w:after="120"/>
      </w:pPr>
      <w:r>
        <w:rPr>
          <w:rFonts w:ascii="Arial" w:cs="Arial" w:eastAsia="Arial" w:hAnsi="Arial"/>
          <w:b/>
          <w:bCs/>
          <w:color w:val="2D6A9B"/>
          <w:sz w:val="26"/>
          <w:szCs w:val="26"/>
        </w:rPr>
        <w:t xml:space="preserve">1.1  SNEAK Energy × Videowise — Supplements / Nutrition  ★ Closest Vertical Match</w:t>
      </w:r>
    </w:p>
    <w:p>
      <w:pPr>
        <w:spacing w:before="60" w:after="100"/>
      </w:pPr>
      <w:r>
        <w:rPr>
          <w:rFonts w:ascii="Arial" w:cs="Arial" w:eastAsia="Arial" w:hAnsi="Arial"/>
          <w:b/>
          <w:bCs/>
          <w:color w:val="1A2B3C"/>
          <w:sz w:val="22"/>
          <w:szCs w:val="22"/>
        </w:rPr>
        <w:t xml:space="preserve">Vertical: </w:t>
      </w:r>
      <w:r>
        <w:rPr>
          <w:rFonts w:ascii="Arial" w:cs="Arial" w:eastAsia="Arial" w:hAnsi="Arial"/>
          <w:color w:val="1A2B3C"/>
          <w:sz w:val="22"/>
          <w:szCs w:val="22"/>
        </w:rPr>
        <w:t xml:space="preserve">Functional energy supplements &amp; nutrition — direct match to Just Ingredients</w:t>
      </w:r>
    </w:p>
    <w:p>
      <w:pPr>
        <w:spacing w:before="60" w:after="100"/>
      </w:pPr>
      <w:r>
        <w:rPr>
          <w:rFonts w:ascii="Arial" w:cs="Arial" w:eastAsia="Arial" w:hAnsi="Arial"/>
          <w:b/>
          <w:bCs/>
          <w:color w:val="1A2B3C"/>
          <w:sz w:val="22"/>
          <w:szCs w:val="22"/>
        </w:rPr>
        <w:t xml:space="preserve">Platform: </w:t>
      </w:r>
      <w:r>
        <w:rPr>
          <w:rFonts w:ascii="Arial" w:cs="Arial" w:eastAsia="Arial" w:hAnsi="Arial"/>
          <w:color w:val="1A2B3C"/>
          <w:sz w:val="22"/>
          <w:szCs w:val="22"/>
        </w:rPr>
        <w:t xml:space="preserve">Videowise   |   </w:t>
      </w:r>
      <w:r>
        <w:rPr>
          <w:rFonts w:ascii="Arial" w:cs="Arial" w:eastAsia="Arial" w:hAnsi="Arial"/>
          <w:b/>
          <w:bCs/>
          <w:color w:val="1A2B3C"/>
          <w:sz w:val="22"/>
          <w:szCs w:val="22"/>
        </w:rPr>
        <w:t xml:space="preserve">Methodology: </w:t>
      </w:r>
      <w:r>
        <w:rPr>
          <w:rFonts w:ascii="Arial" w:cs="Arial" w:eastAsia="Arial" w:hAnsi="Arial"/>
          <w:color w:val="1A2B3C"/>
          <w:sz w:val="22"/>
          <w:szCs w:val="22"/>
        </w:rPr>
        <w:t xml:space="preserve">Formal A/B test, run across UK, EU &amp; US storefronts simultaneously</w:t>
      </w:r>
    </w:p>
    <w:p>
      <w:pPr>
        <w:spacing w:before="80" w:after="0"/>
      </w:pPr>
      <w:r>
        <w:t xml:space="preserve"/>
      </w:r>
    </w:p>
    <w:p>
      <w:pPr>
        <w:spacing w:before="60" w:after="100"/>
      </w:pPr>
      <w:r>
        <w:rPr>
          <w:rFonts w:ascii="Arial" w:cs="Arial" w:eastAsia="Arial" w:hAnsi="Arial"/>
          <w:color w:val="1A2B3C"/>
          <w:sz w:val="22"/>
          <w:szCs w:val="22"/>
        </w:rPr>
        <w:t xml:space="preserve">SNEAK embedded influencer and UGC creator videos directly on product detail pages. Content included: energy drink taste/effect testimonials, creator product use demonstrations, and community-driven review videos pulled from social. The test ran across three localised stores, measuring video-present vs. no-video control groups.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shd w:fill="E8F1F8" w:val="clear"/>
            <w:tcMar>
              <w:top w:type="dxa" w:w="120"/>
              <w:left w:type="dxa" w:w="200"/>
              <w:bottom w:type="dxa" w:w="120"/>
              <w:right w:type="dxa" w:w="120"/>
            </w:tcMar>
          </w:tcPr>
          <w:p>
            <w:pPr>
              <w:spacing w:before="0" w:after="20"/>
            </w:pPr>
            <w:r>
              <w:rPr>
                <w:rFonts w:ascii="Arial" w:cs="Arial" w:eastAsia="Arial" w:hAnsi="Arial"/>
                <w:b/>
                <w:bCs/>
                <w:color w:val="1A2B3C"/>
                <w:sz w:val="22"/>
                <w:szCs w:val="22"/>
              </w:rPr>
              <w:t xml:space="preserve">Revenue uplift — A/B tested across 3 markets</w:t>
            </w:r>
          </w:p>
          <w:p>
            <w:pPr>
              <w:spacing w:before="0" w:after="0"/>
            </w:pPr>
            <w:r>
              <w:rPr>
                <w:rFonts w:ascii="Arial" w:cs="Arial" w:eastAsia="Arial" w:hAnsi="Arial"/>
                <w:color w:val="6B7B8D"/>
                <w:sz w:val="18"/>
                <w:szCs w:val="18"/>
              </w:rPr>
              <w:t xml:space="preserve">Video vs. no-video control — Videowise platform analytics</w:t>
            </w:r>
          </w:p>
        </w:tc>
        <w:tc>
          <w:tcPr>
            <w:tcW w:type="dxa" w:w="3160"/>
            <w:tcBorders>
              <w:top w:val="none" w:color="FFFFFF" w:sz="0"/>
              <w:left w:val="none" w:color="FFFFFF" w:sz="0"/>
              <w:bottom w:val="none" w:color="FFFFFF" w:sz="0"/>
              <w:right w:val="none" w:color="FFFFFF" w:sz="0"/>
            </w:tcBorders>
            <w:shd w:fill="2D6A9B"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+26%</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CE8" w:sz="1"/>
              <w:left w:val="single" w:color="D0DCE8" w:sz="1"/>
              <w:bottom w:val="single" w:color="D0DCE8" w:sz="1"/>
              <w:right w:val="single" w:color="D0DCE8" w:sz="1"/>
            </w:tcBorders>
            <w:shd w:fill="E8F1F8" w:val="clear"/>
            <w:tcMar>
              <w:top w:type="dxa" w:w="120"/>
              <w:left w:type="dxa" w:w="120"/>
              <w:bottom w:type="dxa" w:w="120"/>
              <w:right w:type="dxa" w:w="120"/>
            </w:tcMar>
          </w:tcPr>
          <w:p>
            <w:pPr>
              <w:spacing w:before="0" w:after="40"/>
              <w:jc w:val="center"/>
            </w:pPr>
            <w:r>
              <w:rPr>
                <w:rFonts w:ascii="Arial" w:cs="Arial" w:eastAsia="Arial" w:hAnsi="Arial"/>
                <w:b/>
                <w:bCs/>
                <w:color w:val="2D6A9B"/>
                <w:sz w:val="40"/>
                <w:szCs w:val="40"/>
              </w:rPr>
              <w:t xml:space="preserve">3.5</w:t>
            </w:r>
          </w:p>
          <w:p>
            <w:pPr>
              <w:jc w:val="center"/>
            </w:pPr>
            <w:r>
              <w:rPr>
                <w:rFonts w:ascii="Arial" w:cs="Arial" w:eastAsia="Arial" w:hAnsi="Arial"/>
                <w:color w:val="6B7B8D"/>
                <w:sz w:val="18"/>
                <w:szCs w:val="18"/>
              </w:rPr>
              <w:t xml:space="preserve">Avg. videos watched
per visitor session</w:t>
            </w:r>
          </w:p>
        </w:tc>
        <w:tc>
          <w:tcPr>
            <w:tcW w:type="dxa" w:w="3120"/>
            <w:tcBorders>
              <w:top w:val="single" w:color="D0DCE8" w:sz="1"/>
              <w:left w:val="single" w:color="D0DCE8" w:sz="1"/>
              <w:bottom w:val="single" w:color="D0DCE8" w:sz="1"/>
              <w:right w:val="single" w:color="D0DCE8" w:sz="1"/>
            </w:tcBorders>
            <w:shd w:fill="E8F1F8" w:val="clear"/>
            <w:tcMar>
              <w:top w:type="dxa" w:w="120"/>
              <w:left w:type="dxa" w:w="120"/>
              <w:bottom w:type="dxa" w:w="120"/>
              <w:right w:type="dxa" w:w="120"/>
            </w:tcMar>
          </w:tcPr>
          <w:p>
            <w:pPr>
              <w:spacing w:before="0" w:after="40"/>
              <w:jc w:val="center"/>
            </w:pPr>
            <w:r>
              <w:rPr>
                <w:rFonts w:ascii="Arial" w:cs="Arial" w:eastAsia="Arial" w:hAnsi="Arial"/>
                <w:b/>
                <w:bCs/>
                <w:color w:val="2D6A9B"/>
                <w:sz w:val="40"/>
                <w:szCs w:val="40"/>
              </w:rPr>
              <w:t xml:space="preserve">70 sec</w:t>
            </w:r>
          </w:p>
          <w:p>
            <w:pPr>
              <w:jc w:val="center"/>
            </w:pPr>
            <w:r>
              <w:rPr>
                <w:rFonts w:ascii="Arial" w:cs="Arial" w:eastAsia="Arial" w:hAnsi="Arial"/>
                <w:color w:val="6B7B8D"/>
                <w:sz w:val="18"/>
                <w:szCs w:val="18"/>
              </w:rPr>
              <w:t xml:space="preserve">Average total
video consumption</w:t>
            </w:r>
          </w:p>
        </w:tc>
        <w:tc>
          <w:tcPr>
            <w:tcW w:type="dxa" w:w="3120"/>
            <w:tcBorders>
              <w:top w:val="single" w:color="D0DCE8" w:sz="1"/>
              <w:left w:val="single" w:color="D0DCE8" w:sz="1"/>
              <w:bottom w:val="single" w:color="D0DCE8" w:sz="1"/>
              <w:right w:val="single" w:color="D0DCE8" w:sz="1"/>
            </w:tcBorders>
            <w:shd w:fill="E8F1F8" w:val="clear"/>
            <w:tcMar>
              <w:top w:type="dxa" w:w="120"/>
              <w:left w:type="dxa" w:w="120"/>
              <w:bottom w:type="dxa" w:w="120"/>
              <w:right w:type="dxa" w:w="120"/>
            </w:tcMar>
          </w:tcPr>
          <w:p>
            <w:pPr>
              <w:spacing w:before="0" w:after="40"/>
              <w:jc w:val="center"/>
            </w:pPr>
            <w:r>
              <w:rPr>
                <w:rFonts w:ascii="Arial" w:cs="Arial" w:eastAsia="Arial" w:hAnsi="Arial"/>
                <w:b/>
                <w:bCs/>
                <w:color w:val="2D6A9B"/>
                <w:sz w:val="40"/>
                <w:szCs w:val="40"/>
              </w:rPr>
              <w:t xml:space="preserve">60%</w:t>
            </w:r>
          </w:p>
          <w:p>
            <w:pPr>
              <w:jc w:val="center"/>
            </w:pPr>
            <w:r>
              <w:rPr>
                <w:rFonts w:ascii="Arial" w:cs="Arial" w:eastAsia="Arial" w:hAnsi="Arial"/>
                <w:color w:val="6B7B8D"/>
                <w:sz w:val="18"/>
                <w:szCs w:val="18"/>
              </w:rPr>
              <w:t xml:space="preserve">Of video revenue from
story widget alone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9B" w:sz="8"/>
              <w:left w:val="none" w:color="FFFFFF" w:sz="0"/>
              <w:bottom w:val="none" w:color="FFFFFF" w:sz="0"/>
              <w:right w:val="none" w:color="FFFFFF" w:sz="0"/>
            </w:tcBorders>
            <w:shd w:fill="E8F1F8" w:val="clear"/>
            <w:tcMar>
              <w:top w:type="dxa" w:w="140"/>
              <w:left w:type="dxa" w:w="200"/>
              <w:bottom w:type="dxa" w:w="140"/>
              <w:right w:type="dxa" w:w="200"/>
            </w:tcMar>
          </w:tcPr>
          <w:p>
            <w:pPr>
              <w:spacing w:before="0" w:after="60"/>
            </w:pPr>
            <w:r>
              <w:rPr>
                <w:rFonts w:ascii="Arial" w:cs="Arial" w:eastAsia="Arial" w:hAnsi="Arial"/>
                <w:b/>
                <w:bCs/>
                <w:color w:val="2D6A9B"/>
                <w:sz w:val="22"/>
                <w:szCs w:val="22"/>
              </w:rPr>
              <w:t xml:space="preserve">★ Why this is the strongest anchor study for Just Ingredients</w:t>
            </w:r>
          </w:p>
          <w:p>
            <w:pPr>
              <w:spacing w:before="0" w:after="0"/>
            </w:pPr>
            <w:r>
              <w:rPr>
                <w:rFonts w:ascii="Arial" w:cs="Arial" w:eastAsia="Arial" w:hAnsi="Arial"/>
                <w:color w:val="1A2B3C"/>
                <w:sz w:val="21"/>
                <w:szCs w:val="21"/>
              </w:rPr>
              <w:t xml:space="preserve">Identical vertical (ingestible supplements), same Shopify DTC model, same community-of-health-conscious-buyers audience. Critically, this is one of the few vendor case studies backed by a formal A/B test methodology rather than pure attribution. The 3.5 videos per session finding also demonstrates that health supplement consumers are genuinely hungry for video education — they seek it out, not just passively receive it.</w:t>
            </w:r>
          </w:p>
        </w:tc>
      </w:tr>
    </w:tbl>
    <w:p>
      <w:pPr>
        <w:spacing w:before="160" w:after="0"/>
      </w:pPr>
      <w:r>
        <w:t xml:space="preserve"/>
      </w:r>
    </w:p>
    <w:p>
      <w:pPr>
        <w:pStyle w:val="Heading2"/>
        <w:pBdr>
          <w:bottom w:val="single" w:color="C5DCF0" w:sz="4" w:space="4"/>
        </w:pBdr>
        <w:spacing w:before="280" w:after="120"/>
      </w:pPr>
      <w:r>
        <w:rPr>
          <w:rFonts w:ascii="Arial" w:cs="Arial" w:eastAsia="Arial" w:hAnsi="Arial"/>
          <w:b/>
          <w:bCs/>
          <w:color w:val="2D6A9B"/>
          <w:sz w:val="26"/>
          <w:szCs w:val="26"/>
        </w:rPr>
        <w:t xml:space="preserve">1.2  Sculpted by Aimee × Videowise — Founder-Led Beauty / Ingredient Trust Brand</w:t>
      </w:r>
    </w:p>
    <w:p>
      <w:pPr>
        <w:spacing w:before="60" w:after="100"/>
      </w:pPr>
      <w:r>
        <w:rPr>
          <w:rFonts w:ascii="Arial" w:cs="Arial" w:eastAsia="Arial" w:hAnsi="Arial"/>
          <w:b/>
          <w:bCs/>
          <w:color w:val="1A2B3C"/>
          <w:sz w:val="22"/>
          <w:szCs w:val="22"/>
        </w:rPr>
        <w:t xml:space="preserve">Vertical: </w:t>
      </w:r>
      <w:r>
        <w:rPr>
          <w:rFonts w:ascii="Arial" w:cs="Arial" w:eastAsia="Arial" w:hAnsi="Arial"/>
          <w:color w:val="1A2B3C"/>
          <w:sz w:val="22"/>
          <w:szCs w:val="22"/>
        </w:rPr>
        <w:t xml:space="preserve">Founder-led, ingredient-transparency beauty — closest positioning match to Just Ingredients</w:t>
      </w:r>
    </w:p>
    <w:p>
      <w:pPr>
        <w:spacing w:before="60" w:after="100"/>
      </w:pPr>
      <w:r>
        <w:rPr>
          <w:rFonts w:ascii="Arial" w:cs="Arial" w:eastAsia="Arial" w:hAnsi="Arial"/>
          <w:b/>
          <w:bCs/>
          <w:color w:val="1A2B3C"/>
          <w:sz w:val="22"/>
          <w:szCs w:val="22"/>
        </w:rPr>
        <w:t xml:space="preserve">Video types: </w:t>
      </w:r>
      <w:r>
        <w:rPr>
          <w:rFonts w:ascii="Arial" w:cs="Arial" w:eastAsia="Arial" w:hAnsi="Arial"/>
          <w:color w:val="1A2B3C"/>
          <w:sz w:val="22"/>
          <w:szCs w:val="22"/>
        </w:rPr>
        <w:t xml:space="preserve">Founder tutorial videos + TikTok UGC carousels embedded on every PDP</w:t>
      </w:r>
    </w:p>
    <w:p>
      <w:pPr>
        <w:spacing w:before="80" w:after="0"/>
      </w:pPr>
      <w:r>
        <w:t xml:space="preserve"/>
      </w:r>
    </w:p>
    <w:p>
      <w:pPr>
        <w:spacing w:before="60" w:after="100"/>
      </w:pPr>
      <w:r>
        <w:rPr>
          <w:rFonts w:ascii="Arial" w:cs="Arial" w:eastAsia="Arial" w:hAnsi="Arial"/>
          <w:color w:val="1A2B3C"/>
          <w:sz w:val="22"/>
          <w:szCs w:val="22"/>
        </w:rPr>
        <w:t xml:space="preserve">Sculpted by Aimee deployed a full TikTok-to-PDP content strategy — pulling creator and customer UGC directly from TikTok and embedding shoppable carousels on all product pages, alongside the founder's own instructional content. Monitored over a 30-day performance window.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CE8" w:sz="1"/>
              <w:left w:val="single" w:color="D0DCE8" w:sz="1"/>
              <w:bottom w:val="single" w:color="D0DCE8" w:sz="1"/>
              <w:right w:val="single" w:color="D0DCE8" w:sz="1"/>
            </w:tcBorders>
            <w:shd w:fill="E8F1F8" w:val="clear"/>
            <w:tcMar>
              <w:top w:type="dxa" w:w="120"/>
              <w:left w:type="dxa" w:w="100"/>
              <w:bottom w:type="dxa" w:w="120"/>
              <w:right w:type="dxa" w:w="100"/>
            </w:tcMar>
          </w:tcPr>
          <w:p>
            <w:pPr>
              <w:spacing w:before="0" w:after="40"/>
              <w:jc w:val="center"/>
            </w:pPr>
            <w:r>
              <w:rPr>
                <w:rFonts w:ascii="Arial" w:cs="Arial" w:eastAsia="Arial" w:hAnsi="Arial"/>
                <w:b/>
                <w:bCs/>
                <w:color w:val="2D6A9B"/>
                <w:sz w:val="38"/>
                <w:szCs w:val="38"/>
              </w:rPr>
              <w:t xml:space="preserve">8.6%</w:t>
            </w:r>
          </w:p>
          <w:p>
            <w:pPr>
              <w:jc w:val="center"/>
            </w:pPr>
            <w:r>
              <w:rPr>
                <w:rFonts w:ascii="Arial" w:cs="Arial" w:eastAsia="Arial" w:hAnsi="Arial"/>
                <w:color w:val="6B7B8D"/>
                <w:sz w:val="17"/>
                <w:szCs w:val="17"/>
              </w:rPr>
              <w:t xml:space="preserve">Avg. CVR among
video engagers</w:t>
            </w:r>
          </w:p>
        </w:tc>
        <w:tc>
          <w:tcPr>
            <w:tcW w:type="dxa" w:w="2340"/>
            <w:tcBorders>
              <w:top w:val="single" w:color="D0DCE8" w:sz="1"/>
              <w:left w:val="single" w:color="D0DCE8" w:sz="1"/>
              <w:bottom w:val="single" w:color="D0DCE8" w:sz="1"/>
              <w:right w:val="single" w:color="D0DCE8" w:sz="1"/>
            </w:tcBorders>
            <w:shd w:fill="E8F1F8" w:val="clear"/>
            <w:tcMar>
              <w:top w:type="dxa" w:w="120"/>
              <w:left w:type="dxa" w:w="100"/>
              <w:bottom w:type="dxa" w:w="120"/>
              <w:right w:type="dxa" w:w="100"/>
            </w:tcMar>
          </w:tcPr>
          <w:p>
            <w:pPr>
              <w:spacing w:before="0" w:after="40"/>
              <w:jc w:val="center"/>
            </w:pPr>
            <w:r>
              <w:rPr>
                <w:rFonts w:ascii="Arial" w:cs="Arial" w:eastAsia="Arial" w:hAnsi="Arial"/>
                <w:b/>
                <w:bCs/>
                <w:color w:val="2D6A9B"/>
                <w:sz w:val="38"/>
                <w:szCs w:val="38"/>
              </w:rPr>
              <w:t xml:space="preserve">16.8%</w:t>
            </w:r>
          </w:p>
          <w:p>
            <w:pPr>
              <w:jc w:val="center"/>
            </w:pPr>
            <w:r>
              <w:rPr>
                <w:rFonts w:ascii="Arial" w:cs="Arial" w:eastAsia="Arial" w:hAnsi="Arial"/>
                <w:color w:val="6B7B8D"/>
                <w:sz w:val="17"/>
                <w:szCs w:val="17"/>
              </w:rPr>
              <w:t xml:space="preserve">Peak CVR
spike</w:t>
            </w:r>
          </w:p>
        </w:tc>
        <w:tc>
          <w:tcPr>
            <w:tcW w:type="dxa" w:w="2340"/>
            <w:tcBorders>
              <w:top w:val="single" w:color="D0DCE8" w:sz="1"/>
              <w:left w:val="single" w:color="D0DCE8" w:sz="1"/>
              <w:bottom w:val="single" w:color="D0DCE8" w:sz="1"/>
              <w:right w:val="single" w:color="D0DCE8" w:sz="1"/>
            </w:tcBorders>
            <w:shd w:fill="E8F1F8" w:val="clear"/>
            <w:tcMar>
              <w:top w:type="dxa" w:w="120"/>
              <w:left w:type="dxa" w:w="100"/>
              <w:bottom w:type="dxa" w:w="120"/>
              <w:right w:type="dxa" w:w="100"/>
            </w:tcMar>
          </w:tcPr>
          <w:p>
            <w:pPr>
              <w:spacing w:before="0" w:after="40"/>
              <w:jc w:val="center"/>
            </w:pPr>
            <w:r>
              <w:rPr>
                <w:rFonts w:ascii="Arial" w:cs="Arial" w:eastAsia="Arial" w:hAnsi="Arial"/>
                <w:b/>
                <w:bCs/>
                <w:color w:val="2D6A9B"/>
                <w:sz w:val="38"/>
                <w:szCs w:val="38"/>
              </w:rPr>
              <w:t xml:space="preserve">1.8%</w:t>
            </w:r>
          </w:p>
          <w:p>
            <w:pPr>
              <w:jc w:val="center"/>
            </w:pPr>
            <w:r>
              <w:rPr>
                <w:rFonts w:ascii="Arial" w:cs="Arial" w:eastAsia="Arial" w:hAnsi="Arial"/>
                <w:color w:val="6B7B8D"/>
                <w:sz w:val="17"/>
                <w:szCs w:val="17"/>
              </w:rPr>
              <w:t xml:space="preserve">Industry
average CVR</w:t>
            </w:r>
          </w:p>
        </w:tc>
        <w:tc>
          <w:tcPr>
            <w:tcW w:type="dxa" w:w="2340"/>
            <w:tcBorders>
              <w:top w:val="single" w:color="D0DCE8" w:sz="1"/>
              <w:left w:val="single" w:color="D0DCE8" w:sz="1"/>
              <w:bottom w:val="single" w:color="D0DCE8" w:sz="1"/>
              <w:right w:val="single" w:color="D0DCE8" w:sz="1"/>
            </w:tcBorders>
            <w:shd w:fill="E8F1F8" w:val="clear"/>
            <w:tcMar>
              <w:top w:type="dxa" w:w="120"/>
              <w:left w:type="dxa" w:w="100"/>
              <w:bottom w:type="dxa" w:w="120"/>
              <w:right w:type="dxa" w:w="100"/>
            </w:tcMar>
          </w:tcPr>
          <w:p>
            <w:pPr>
              <w:spacing w:before="0" w:after="40"/>
              <w:jc w:val="center"/>
            </w:pPr>
            <w:r>
              <w:rPr>
                <w:rFonts w:ascii="Arial" w:cs="Arial" w:eastAsia="Arial" w:hAnsi="Arial"/>
                <w:b/>
                <w:bCs/>
                <w:color w:val="2D6A9B"/>
                <w:sz w:val="38"/>
                <w:szCs w:val="38"/>
              </w:rPr>
              <w:t xml:space="preserve">50.7%</w:t>
            </w:r>
          </w:p>
          <w:p>
            <w:pPr>
              <w:jc w:val="center"/>
            </w:pPr>
            <w:r>
              <w:rPr>
                <w:rFonts w:ascii="Arial" w:cs="Arial" w:eastAsia="Arial" w:hAnsi="Arial"/>
                <w:color w:val="6B7B8D"/>
                <w:sz w:val="17"/>
                <w:szCs w:val="17"/>
              </w:rPr>
              <w:t xml:space="preserve">Video
completion rate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9B" w:sz="8"/>
              <w:left w:val="none" w:color="FFFFFF" w:sz="0"/>
              <w:bottom w:val="none" w:color="FFFFFF" w:sz="0"/>
              <w:right w:val="none" w:color="FFFFFF" w:sz="0"/>
            </w:tcBorders>
            <w:shd w:fill="E8F1F8" w:val="clear"/>
            <w:tcMar>
              <w:top w:type="dxa" w:w="140"/>
              <w:left w:type="dxa" w:w="200"/>
              <w:bottom w:type="dxa" w:w="140"/>
              <w:right w:type="dxa" w:w="200"/>
            </w:tcMar>
          </w:tcPr>
          <w:p>
            <w:pPr>
              <w:spacing w:before="0" w:after="60"/>
            </w:pPr>
            <w:r>
              <w:rPr>
                <w:rFonts w:ascii="Arial" w:cs="Arial" w:eastAsia="Arial" w:hAnsi="Arial"/>
                <w:b/>
                <w:bCs/>
                <w:color w:val="2D6A9B"/>
                <w:sz w:val="22"/>
                <w:szCs w:val="22"/>
              </w:rPr>
              <w:t xml:space="preserve">Framing for Just Ingredients</w:t>
            </w:r>
          </w:p>
          <w:p>
            <w:pPr>
              <w:spacing w:before="0" w:after="0"/>
            </w:pPr>
            <w:r>
              <w:rPr>
                <w:rFonts w:ascii="Arial" w:cs="Arial" w:eastAsia="Arial" w:hAnsi="Arial"/>
                <w:color w:val="1A2B3C"/>
                <w:sz w:val="21"/>
                <w:szCs w:val="21"/>
              </w:rPr>
              <w:t xml:space="preserve">8.6% average CVR is 4.8× the industry average of 1.8%. The 16.8% peak shows what's possible when the right video reaches the right buyer. This is particularly relevant because the 'founder as influencer' dynamic is central to Just Ingredients' brand — the founder's authentic content is already the brand's most trusted asset.</w:t>
            </w:r>
          </w:p>
        </w:tc>
      </w:tr>
    </w:tbl>
    <w:p>
      <w:pPr>
        <w:spacing w:before="160" w:after="0"/>
      </w:pPr>
      <w:r>
        <w:t xml:space="preserve"/>
      </w:r>
    </w:p>
    <w:p>
      <w:pPr>
        <w:pStyle w:val="Heading2"/>
        <w:pBdr>
          <w:bottom w:val="single" w:color="C5DCF0" w:sz="4" w:space="4"/>
        </w:pBdr>
        <w:spacing w:before="280" w:after="120"/>
      </w:pPr>
      <w:r>
        <w:rPr>
          <w:rFonts w:ascii="Arial" w:cs="Arial" w:eastAsia="Arial" w:hAnsi="Arial"/>
          <w:b/>
          <w:bCs/>
          <w:color w:val="2D6A9B"/>
          <w:sz w:val="26"/>
          <w:szCs w:val="26"/>
        </w:rPr>
        <w:t xml:space="preserve">1.3  Wonderskin × Insense — Influencer Video Pipeline to PDP</w:t>
      </w:r>
    </w:p>
    <w:p>
      <w:pPr>
        <w:spacing w:before="60" w:after="100"/>
      </w:pPr>
      <w:r>
        <w:rPr>
          <w:rFonts w:ascii="Arial" w:cs="Arial" w:eastAsia="Arial" w:hAnsi="Arial"/>
          <w:b/>
          <w:bCs/>
          <w:color w:val="1A2B3C"/>
          <w:sz w:val="22"/>
          <w:szCs w:val="22"/>
        </w:rPr>
        <w:t xml:space="preserve">Vertical: </w:t>
      </w:r>
      <w:r>
        <w:rPr>
          <w:rFonts w:ascii="Arial" w:cs="Arial" w:eastAsia="Arial" w:hAnsi="Arial"/>
          <w:color w:val="1A2B3C"/>
          <w:sz w:val="22"/>
          <w:szCs w:val="22"/>
        </w:rPr>
        <w:t xml:space="preserve">Skincare / beauty   |   </w:t>
      </w:r>
      <w:r>
        <w:rPr>
          <w:rFonts w:ascii="Arial" w:cs="Arial" w:eastAsia="Arial" w:hAnsi="Arial"/>
          <w:b/>
          <w:bCs/>
          <w:color w:val="1A2B3C"/>
          <w:sz w:val="22"/>
          <w:szCs w:val="22"/>
        </w:rPr>
        <w:t xml:space="preserve">Platform: </w:t>
      </w:r>
      <w:r>
        <w:rPr>
          <w:rFonts w:ascii="Arial" w:cs="Arial" w:eastAsia="Arial" w:hAnsi="Arial"/>
          <w:color w:val="1A2B3C"/>
          <w:sz w:val="22"/>
          <w:szCs w:val="22"/>
        </w:rPr>
        <w:t xml:space="preserve">Insense (creator sourcing) — not Videowise</w:t>
      </w:r>
    </w:p>
    <w:p>
      <w:pPr>
        <w:spacing w:before="80" w:after="0"/>
      </w:pPr>
      <w:r>
        <w:t xml:space="preserve"/>
      </w:r>
    </w:p>
    <w:p>
      <w:pPr>
        <w:spacing w:before="60" w:after="100"/>
      </w:pPr>
      <w:r>
        <w:rPr>
          <w:rFonts w:ascii="Arial" w:cs="Arial" w:eastAsia="Arial" w:hAnsi="Arial"/>
          <w:color w:val="1A2B3C"/>
          <w:sz w:val="22"/>
          <w:szCs w:val="22"/>
        </w:rPr>
        <w:t xml:space="preserve">Wonderskin demonstrates the most strategically defensible version of the influencer video PDP play: test influencer content in paid social first, identify top performers, then deploy only proven videos to the PDP. This validation-first approach eliminates the risk of underperforming content on high-traffic product pages.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CE8" w:sz="1"/>
              <w:left w:val="single" w:color="D0DCE8" w:sz="1"/>
              <w:bottom w:val="single" w:color="D0DCE8" w:sz="1"/>
              <w:right w:val="single" w:color="D0DCE8" w:sz="1"/>
            </w:tcBorders>
            <w:shd w:fill="E6F5EE" w:val="clear"/>
            <w:tcMar>
              <w:top w:type="dxa" w:w="120"/>
              <w:left w:type="dxa" w:w="120"/>
              <w:bottom w:type="dxa" w:w="120"/>
              <w:right w:type="dxa" w:w="120"/>
            </w:tcMar>
          </w:tcPr>
          <w:p>
            <w:pPr>
              <w:spacing w:before="0" w:after="40"/>
              <w:jc w:val="center"/>
            </w:pPr>
            <w:r>
              <w:rPr>
                <w:rFonts w:ascii="Arial" w:cs="Arial" w:eastAsia="Arial" w:hAnsi="Arial"/>
                <w:b/>
                <w:bCs/>
                <w:color w:val="1A7A4A"/>
                <w:sz w:val="40"/>
                <w:szCs w:val="40"/>
              </w:rPr>
              <w:t xml:space="preserve">+26%</w:t>
            </w:r>
          </w:p>
          <w:p>
            <w:pPr>
              <w:jc w:val="center"/>
            </w:pPr>
            <w:r>
              <w:rPr>
                <w:rFonts w:ascii="Arial" w:cs="Arial" w:eastAsia="Arial" w:hAnsi="Arial"/>
                <w:color w:val="6B7B8D"/>
                <w:sz w:val="18"/>
                <w:szCs w:val="18"/>
              </w:rPr>
              <w:t xml:space="preserve">CVR boost
across US market</w:t>
            </w:r>
          </w:p>
        </w:tc>
        <w:tc>
          <w:tcPr>
            <w:tcW w:type="dxa" w:w="3120"/>
            <w:tcBorders>
              <w:top w:val="single" w:color="D0DCE8" w:sz="1"/>
              <w:left w:val="single" w:color="D0DCE8" w:sz="1"/>
              <w:bottom w:val="single" w:color="D0DCE8" w:sz="1"/>
              <w:right w:val="single" w:color="D0DCE8" w:sz="1"/>
            </w:tcBorders>
            <w:shd w:fill="E6F5EE" w:val="clear"/>
            <w:tcMar>
              <w:top w:type="dxa" w:w="120"/>
              <w:left w:type="dxa" w:w="120"/>
              <w:bottom w:type="dxa" w:w="120"/>
              <w:right w:type="dxa" w:w="120"/>
            </w:tcMar>
          </w:tcPr>
          <w:p>
            <w:pPr>
              <w:spacing w:before="0" w:after="40"/>
              <w:jc w:val="center"/>
            </w:pPr>
            <w:r>
              <w:rPr>
                <w:rFonts w:ascii="Arial" w:cs="Arial" w:eastAsia="Arial" w:hAnsi="Arial"/>
                <w:b/>
                <w:bCs/>
                <w:color w:val="1A7A4A"/>
                <w:sz w:val="40"/>
                <w:szCs w:val="40"/>
              </w:rPr>
              <w:t xml:space="preserve">$1.7M</w:t>
            </w:r>
          </w:p>
          <w:p>
            <w:pPr>
              <w:jc w:val="center"/>
            </w:pPr>
            <w:r>
              <w:rPr>
                <w:rFonts w:ascii="Arial" w:cs="Arial" w:eastAsia="Arial" w:hAnsi="Arial"/>
                <w:color w:val="6B7B8D"/>
                <w:sz w:val="18"/>
                <w:szCs w:val="18"/>
              </w:rPr>
              <w:t xml:space="preserve">Influenced
revenue</w:t>
            </w:r>
          </w:p>
        </w:tc>
        <w:tc>
          <w:tcPr>
            <w:tcW w:type="dxa" w:w="3120"/>
            <w:tcBorders>
              <w:top w:val="single" w:color="D0DCE8" w:sz="1"/>
              <w:left w:val="single" w:color="D0DCE8" w:sz="1"/>
              <w:bottom w:val="single" w:color="D0DCE8" w:sz="1"/>
              <w:right w:val="single" w:color="D0DCE8" w:sz="1"/>
            </w:tcBorders>
            <w:shd w:fill="E6F5EE" w:val="clear"/>
            <w:tcMar>
              <w:top w:type="dxa" w:w="120"/>
              <w:left w:type="dxa" w:w="120"/>
              <w:bottom w:type="dxa" w:w="120"/>
              <w:right w:type="dxa" w:w="120"/>
            </w:tcMar>
          </w:tcPr>
          <w:p>
            <w:pPr>
              <w:spacing w:before="0" w:after="40"/>
              <w:jc w:val="center"/>
            </w:pPr>
            <w:r>
              <w:rPr>
                <w:rFonts w:ascii="Arial" w:cs="Arial" w:eastAsia="Arial" w:hAnsi="Arial"/>
                <w:b/>
                <w:bCs/>
                <w:color w:val="1A7A4A"/>
                <w:sz w:val="40"/>
                <w:szCs w:val="40"/>
              </w:rPr>
              <w:t xml:space="preserve">$1.1M</w:t>
            </w:r>
          </w:p>
          <w:p>
            <w:pPr>
              <w:jc w:val="center"/>
            </w:pPr>
            <w:r>
              <w:rPr>
                <w:rFonts w:ascii="Arial" w:cs="Arial" w:eastAsia="Arial" w:hAnsi="Arial"/>
                <w:color w:val="6B7B8D"/>
                <w:sz w:val="18"/>
                <w:szCs w:val="18"/>
              </w:rPr>
              <w:t xml:space="preserve">Engagement
value generated</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none" w:color="FFFFFF" w:sz="0"/>
              <w:bottom w:val="none" w:color="FFFFFF" w:sz="0"/>
              <w:right w:val="none" w:color="FFFFFF" w:sz="0"/>
            </w:tcBorders>
            <w:shd w:fill="E6F5EE" w:val="clear"/>
            <w:tcMar>
              <w:top w:type="dxa" w:w="140"/>
              <w:left w:type="dxa" w:w="200"/>
              <w:bottom w:type="dxa" w:w="140"/>
              <w:right w:type="dxa" w:w="200"/>
            </w:tcMar>
          </w:tcPr>
          <w:p>
            <w:pPr>
              <w:spacing w:before="0" w:after="60"/>
            </w:pPr>
            <w:r>
              <w:rPr>
                <w:rFonts w:ascii="Arial" w:cs="Arial" w:eastAsia="Arial" w:hAnsi="Arial"/>
                <w:b/>
                <w:bCs/>
                <w:color w:val="1A7A4A"/>
                <w:sz w:val="22"/>
                <w:szCs w:val="22"/>
              </w:rPr>
              <w:t xml:space="preserve">Strategic implication for Just Ingredients</w:t>
            </w:r>
          </w:p>
          <w:p>
            <w:pPr>
              <w:spacing w:before="0" w:after="0"/>
            </w:pPr>
            <w:r>
              <w:rPr>
                <w:rFonts w:ascii="Arial" w:cs="Arial" w:eastAsia="Arial" w:hAnsi="Arial"/>
                <w:color w:val="1A2B3C"/>
                <w:sz w:val="21"/>
                <w:szCs w:val="21"/>
              </w:rPr>
              <w:t xml:space="preserve">The paid-social-to-PDP pipeline is a low-risk, high-return implementation strategy. Just Ingredients already has creator content performing across Instagram and TikTok. The play is to identify which videos are already converting in paid, and move them to the PDP. No new content creation required for phase one.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9B" w:val="clear"/>
            <w:tcMar>
              <w:top w:type="dxa" w:w="120"/>
              <w:left w:type="dxa" w:w="240"/>
              <w:bottom w:type="dxa" w:w="120"/>
              <w:right w:type="dxa" w:w="240"/>
            </w:tcMar>
          </w:tcPr>
          <w:p>
            <w:r>
              <w:rPr>
                <w:rFonts w:ascii="Arial" w:cs="Arial" w:eastAsia="Arial" w:hAnsi="Arial"/>
                <w:b/>
                <w:bCs/>
                <w:color w:val="FFFFFF"/>
                <w:sz w:val="24"/>
                <w:szCs w:val="24"/>
              </w:rPr>
              <w:t xml:space="preserve">PART 2: SUPPORTING STUDIES — CROSS-VERTICAL EVIDENCE</w:t>
            </w:r>
          </w:p>
        </w:tc>
      </w:tr>
    </w:tbl>
    <w:p>
      <w:pPr>
        <w:spacing w:before="120" w:after="0"/>
      </w:pPr>
      <w:r>
        <w:t xml:space="preserve"/>
      </w:r>
    </w:p>
    <w:p>
      <w:pPr>
        <w:pStyle w:val="Heading2"/>
        <w:pBdr>
          <w:bottom w:val="single" w:color="C5DCF0" w:sz="4" w:space="4"/>
        </w:pBdr>
        <w:spacing w:before="280" w:after="120"/>
      </w:pPr>
      <w:r>
        <w:rPr>
          <w:rFonts w:ascii="Arial" w:cs="Arial" w:eastAsia="Arial" w:hAnsi="Arial"/>
          <w:b/>
          <w:bCs/>
          <w:color w:val="2D6A9B"/>
          <w:sz w:val="26"/>
          <w:szCs w:val="26"/>
        </w:rPr>
        <w:t xml:space="preserve">2.1  Marketing Experiments — Video Testimonial A/B Test  ★ Most Cited Controlled Test</w:t>
      </w:r>
    </w:p>
    <w:p>
      <w:pPr>
        <w:spacing w:before="60" w:after="100"/>
      </w:pPr>
      <w:r>
        <w:rPr>
          <w:rFonts w:ascii="Arial" w:cs="Arial" w:eastAsia="Arial" w:hAnsi="Arial"/>
          <w:b/>
          <w:bCs/>
          <w:color w:val="1A2B3C"/>
          <w:sz w:val="22"/>
          <w:szCs w:val="22"/>
        </w:rPr>
        <w:t xml:space="preserve">Type: </w:t>
      </w:r>
      <w:r>
        <w:rPr>
          <w:rFonts w:ascii="Arial" w:cs="Arial" w:eastAsia="Arial" w:hAnsi="Arial"/>
          <w:color w:val="1A2B3C"/>
          <w:sz w:val="22"/>
          <w:szCs w:val="22"/>
        </w:rPr>
        <w:t xml:space="preserve">Controlled A/B test   |   </w:t>
      </w:r>
      <w:r>
        <w:rPr>
          <w:rFonts w:ascii="Arial" w:cs="Arial" w:eastAsia="Arial" w:hAnsi="Arial"/>
          <w:b/>
          <w:bCs/>
          <w:color w:val="1A2B3C"/>
          <w:sz w:val="22"/>
          <w:szCs w:val="22"/>
        </w:rPr>
        <w:t xml:space="preserve">Platform: </w:t>
      </w:r>
      <w:r>
        <w:rPr>
          <w:rFonts w:ascii="Arial" w:cs="Arial" w:eastAsia="Arial" w:hAnsi="Arial"/>
          <w:color w:val="1A2B3C"/>
          <w:sz w:val="22"/>
          <w:szCs w:val="22"/>
        </w:rPr>
        <w:t xml:space="preserve">Independent (Marketing Experiments / MECLABS)</w:t>
      </w:r>
    </w:p>
    <w:p>
      <w:pPr>
        <w:spacing w:before="80" w:after="0"/>
      </w:pPr>
      <w:r>
        <w:t xml:space="preserve"/>
      </w:r>
    </w:p>
    <w:p>
      <w:pPr>
        <w:spacing w:before="60" w:after="100"/>
      </w:pPr>
      <w:r>
        <w:rPr>
          <w:rFonts w:ascii="Arial" w:cs="Arial" w:eastAsia="Arial" w:hAnsi="Arial"/>
          <w:color w:val="1A2B3C"/>
          <w:sz w:val="22"/>
          <w:szCs w:val="22"/>
        </w:rPr>
        <w:t xml:space="preserve">A rigorous controlled experiment compared three PDP variants: (1) no social proof, (2) written testimonial, (3) video testimonial. This is the most directly relevant controlled study for the specific argument that video social proof is dramatically superior to text social proof — which is the current state of most product pages.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320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Social Proof Type</w:t>
            </w:r>
          </w:p>
        </w:tc>
        <w:tc>
          <w:tcPr>
            <w:tcW w:type="dxa" w:w="296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CVR Lift vs. Control</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Control</w:t>
            </w:r>
          </w:p>
        </w:tc>
        <w:tc>
          <w:tcPr>
            <w:tcW w:type="dxa" w:w="3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No social proof</w:t>
            </w:r>
          </w:p>
        </w:tc>
        <w:tc>
          <w:tcPr>
            <w:tcW w:type="dxa" w:w="29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Baseline</w:t>
            </w:r>
          </w:p>
        </w:tc>
      </w:tr>
      <w:tr>
        <w:tc>
          <w:tcPr>
            <w:tcW w:type="dxa" w:w="32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Variant A</w:t>
            </w:r>
          </w:p>
        </w:tc>
        <w:tc>
          <w:tcPr>
            <w:tcW w:type="dxa" w:w="32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Written testimonial</w:t>
            </w:r>
          </w:p>
        </w:tc>
        <w:tc>
          <w:tcPr>
            <w:tcW w:type="dxa" w:w="296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+25% lift</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Variant B</w:t>
            </w:r>
          </w:p>
        </w:tc>
        <w:tc>
          <w:tcPr>
            <w:tcW w:type="dxa" w:w="3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Video testimonial</w:t>
            </w:r>
          </w:p>
        </w:tc>
        <w:tc>
          <w:tcPr>
            <w:tcW w:type="dxa" w:w="29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+201% lift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A2D" w:sz="8"/>
              <w:left w:val="none" w:color="FFFFFF" w:sz="0"/>
              <w:bottom w:val="none" w:color="FFFFFF" w:sz="0"/>
              <w:right w:val="none" w:color="FFFFFF" w:sz="0"/>
            </w:tcBorders>
            <w:shd w:fill="FFF8F5" w:val="clear"/>
            <w:tcMar>
              <w:top w:type="dxa" w:w="140"/>
              <w:left w:type="dxa" w:w="200"/>
              <w:bottom w:type="dxa" w:w="140"/>
              <w:right w:type="dxa" w:w="200"/>
            </w:tcMar>
          </w:tcPr>
          <w:p>
            <w:pPr>
              <w:spacing w:before="0" w:after="60"/>
            </w:pPr>
            <w:r>
              <w:rPr>
                <w:rFonts w:ascii="Arial" w:cs="Arial" w:eastAsia="Arial" w:hAnsi="Arial"/>
                <w:b/>
                <w:bCs/>
                <w:color w:val="E86A2D"/>
                <w:sz w:val="22"/>
                <w:szCs w:val="22"/>
              </w:rPr>
              <w:t xml:space="preserve">The core argument this study makes</w:t>
            </w:r>
          </w:p>
          <w:p>
            <w:pPr>
              <w:spacing w:before="0" w:after="0"/>
            </w:pPr>
            <w:r>
              <w:rPr>
                <w:rFonts w:ascii="Arial" w:cs="Arial" w:eastAsia="Arial" w:hAnsi="Arial"/>
                <w:color w:val="1A2B3C"/>
                <w:sz w:val="21"/>
                <w:szCs w:val="21"/>
              </w:rPr>
              <w:t xml:space="preserve">Most product pages already have written reviews or text testimonials. This study shows that switching from text to video social proof — not adding social proof from zero — delivers an 8× greater conversion lift. For Just Ingredients, which has abundant creator video content available, this is purely a placement and activation decision.</w:t>
            </w:r>
          </w:p>
        </w:tc>
      </w:tr>
    </w:tbl>
    <w:p>
      <w:pPr>
        <w:spacing w:before="160" w:after="0"/>
      </w:pPr>
      <w:r>
        <w:t xml:space="preserve"/>
      </w:r>
    </w:p>
    <w:p>
      <w:pPr>
        <w:pStyle w:val="Heading2"/>
        <w:pBdr>
          <w:bottom w:val="single" w:color="C5DCF0" w:sz="4" w:space="4"/>
        </w:pBdr>
        <w:spacing w:before="280" w:after="120"/>
      </w:pPr>
      <w:r>
        <w:rPr>
          <w:rFonts w:ascii="Arial" w:cs="Arial" w:eastAsia="Arial" w:hAnsi="Arial"/>
          <w:b/>
          <w:bCs/>
          <w:color w:val="2D6A9B"/>
          <w:sz w:val="26"/>
          <w:szCs w:val="26"/>
        </w:rPr>
        <w:t xml:space="preserve">2.2  Kate Somerville × Hue / Shoplift — A/B Tested Creator UGC on Skincare PDPs</w:t>
      </w:r>
    </w:p>
    <w:p>
      <w:pPr>
        <w:spacing w:before="60" w:after="100"/>
      </w:pPr>
      <w:r>
        <w:rPr>
          <w:rFonts w:ascii="Arial" w:cs="Arial" w:eastAsia="Arial" w:hAnsi="Arial"/>
          <w:b/>
          <w:bCs/>
          <w:color w:val="1A2B3C"/>
          <w:sz w:val="22"/>
          <w:szCs w:val="22"/>
        </w:rPr>
        <w:t xml:space="preserve">Vertical: </w:t>
      </w:r>
      <w:r>
        <w:rPr>
          <w:rFonts w:ascii="Arial" w:cs="Arial" w:eastAsia="Arial" w:hAnsi="Arial"/>
          <w:color w:val="1A2B3C"/>
          <w:sz w:val="22"/>
          <w:szCs w:val="22"/>
        </w:rPr>
        <w:t xml:space="preserve">Premium skincare   |   </w:t>
      </w:r>
      <w:r>
        <w:rPr>
          <w:rFonts w:ascii="Arial" w:cs="Arial" w:eastAsia="Arial" w:hAnsi="Arial"/>
          <w:b/>
          <w:bCs/>
          <w:color w:val="1A2B3C"/>
          <w:sz w:val="22"/>
          <w:szCs w:val="22"/>
        </w:rPr>
        <w:t xml:space="preserve">Platform: </w:t>
      </w:r>
      <w:r>
        <w:rPr>
          <w:rFonts w:ascii="Arial" w:cs="Arial" w:eastAsia="Arial" w:hAnsi="Arial"/>
          <w:color w:val="1A2B3C"/>
          <w:sz w:val="22"/>
          <w:szCs w:val="22"/>
        </w:rPr>
        <w:t xml:space="preserve">Shoplift A/B testing + Hue Creator Community (not Videowise)</w:t>
      </w:r>
    </w:p>
    <w:p>
      <w:pPr>
        <w:spacing w:before="80" w:after="0"/>
      </w:pPr>
      <w:r>
        <w:t xml:space="preserve"/>
      </w:r>
    </w:p>
    <w:p>
      <w:pPr>
        <w:spacing w:before="60" w:after="100"/>
      </w:pPr>
      <w:r>
        <w:rPr>
          <w:rFonts w:ascii="Arial" w:cs="Arial" w:eastAsia="Arial" w:hAnsi="Arial"/>
          <w:color w:val="1A2B3C"/>
          <w:sz w:val="22"/>
          <w:szCs w:val="22"/>
        </w:rPr>
        <w:t xml:space="preserve">Kate Somerville sourced 47 UGC creator videos and 92 before-and-after images from the Hue Creator Community and placed them on three high-traffic product pages. Website traffic was mathematically split between a video-present variant and a static control PDP. This is one of the few beauty brand studies using a formally structured A/B testing platform.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shd w:fill="E8F1F8" w:val="clear"/>
            <w:tcMar>
              <w:top w:type="dxa" w:w="120"/>
              <w:left w:type="dxa" w:w="200"/>
              <w:bottom w:type="dxa" w:w="120"/>
              <w:right w:type="dxa" w:w="120"/>
            </w:tcMar>
          </w:tcPr>
          <w:p>
            <w:pPr>
              <w:spacing w:before="0" w:after="20"/>
            </w:pPr>
            <w:r>
              <w:rPr>
                <w:rFonts w:ascii="Arial" w:cs="Arial" w:eastAsia="Arial" w:hAnsi="Arial"/>
                <w:b/>
                <w:bCs/>
                <w:color w:val="1A2B3C"/>
                <w:sz w:val="22"/>
                <w:szCs w:val="22"/>
              </w:rPr>
              <w:t xml:space="preserve">Conversion rate lift — formally A/B tested</w:t>
            </w:r>
          </w:p>
          <w:p>
            <w:pPr>
              <w:spacing w:before="0" w:after="0"/>
            </w:pPr>
            <w:r>
              <w:rPr>
                <w:rFonts w:ascii="Arial" w:cs="Arial" w:eastAsia="Arial" w:hAnsi="Arial"/>
                <w:color w:val="6B7B8D"/>
                <w:sz w:val="18"/>
                <w:szCs w:val="18"/>
              </w:rPr>
              <w:t xml:space="preserve">Statistically significant lift in CVR and Revenue Per Visitor (RPV) vs. control — Shoplift / Hue</w:t>
            </w:r>
          </w:p>
        </w:tc>
        <w:tc>
          <w:tcPr>
            <w:tcW w:type="dxa" w:w="3160"/>
            <w:tcBorders>
              <w:top w:val="none" w:color="FFFFFF" w:sz="0"/>
              <w:left w:val="none" w:color="FFFFFF" w:sz="0"/>
              <w:bottom w:val="none" w:color="FFFFFF" w:sz="0"/>
              <w:right w:val="none" w:color="FFFFFF" w:sz="0"/>
            </w:tcBorders>
            <w:shd w:fill="2D6A9B"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+23.9%</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9B" w:sz="8"/>
              <w:left w:val="none" w:color="FFFFFF" w:sz="0"/>
              <w:bottom w:val="none" w:color="FFFFFF" w:sz="0"/>
              <w:right w:val="none" w:color="FFFFFF" w:sz="0"/>
            </w:tcBorders>
            <w:shd w:fill="E8F1F8" w:val="clear"/>
            <w:tcMar>
              <w:top w:type="dxa" w:w="140"/>
              <w:left w:type="dxa" w:w="200"/>
              <w:bottom w:type="dxa" w:w="140"/>
              <w:right w:type="dxa" w:w="200"/>
            </w:tcMar>
          </w:tcPr>
          <w:p>
            <w:pPr>
              <w:spacing w:before="0" w:after="60"/>
            </w:pPr>
            <w:r>
              <w:rPr>
                <w:rFonts w:ascii="Arial" w:cs="Arial" w:eastAsia="Arial" w:hAnsi="Arial"/>
                <w:b/>
                <w:bCs/>
                <w:color w:val="2D6A9B"/>
                <w:sz w:val="22"/>
                <w:szCs w:val="22"/>
              </w:rPr>
              <w:t xml:space="preserve">Why this study matters</w:t>
            </w:r>
          </w:p>
          <w:p>
            <w:pPr>
              <w:spacing w:before="0" w:after="0"/>
            </w:pPr>
            <w:r>
              <w:rPr>
                <w:rFonts w:ascii="Arial" w:cs="Arial" w:eastAsia="Arial" w:hAnsi="Arial"/>
                <w:color w:val="1A2B3C"/>
                <w:sz w:val="21"/>
                <w:szCs w:val="21"/>
              </w:rPr>
              <w:t xml:space="preserve">This is rigorous by industry standards: a dedicated A/B testing platform, three product pages, formal statistical significance testing, and Revenue Per Visitor as the primary KPI — not just CVR. It proves the revenue impact, not just the click behavior.</w:t>
            </w:r>
          </w:p>
        </w:tc>
      </w:tr>
    </w:tbl>
    <w:p>
      <w:pPr>
        <w:spacing w:before="160" w:after="0"/>
      </w:pPr>
      <w:r>
        <w:t xml:space="preserve"/>
      </w:r>
    </w:p>
    <w:p>
      <w:pPr>
        <w:pStyle w:val="Heading2"/>
        <w:pBdr>
          <w:bottom w:val="single" w:color="C5DCF0" w:sz="4" w:space="4"/>
        </w:pBdr>
        <w:spacing w:before="280" w:after="120"/>
      </w:pPr>
      <w:r>
        <w:rPr>
          <w:rFonts w:ascii="Arial" w:cs="Arial" w:eastAsia="Arial" w:hAnsi="Arial"/>
          <w:b/>
          <w:bCs/>
          <w:color w:val="2D6A9B"/>
          <w:sz w:val="26"/>
          <w:szCs w:val="26"/>
        </w:rPr>
        <w:t xml:space="preserve">2.3  PowerReviews 2022/2023 — Large-Scale UGC Interaction Study</w:t>
      </w:r>
    </w:p>
    <w:p>
      <w:pPr>
        <w:spacing w:before="60" w:after="100"/>
      </w:pPr>
      <w:r>
        <w:rPr>
          <w:rFonts w:ascii="Arial" w:cs="Arial" w:eastAsia="Arial" w:hAnsi="Arial"/>
          <w:b/>
          <w:bCs/>
          <w:color w:val="1A2B3C"/>
          <w:sz w:val="22"/>
          <w:szCs w:val="22"/>
        </w:rPr>
        <w:t xml:space="preserve">Type: </w:t>
      </w:r>
      <w:r>
        <w:rPr>
          <w:rFonts w:ascii="Arial" w:cs="Arial" w:eastAsia="Arial" w:hAnsi="Arial"/>
          <w:color w:val="1A2B3C"/>
          <w:sz w:val="22"/>
          <w:szCs w:val="22"/>
        </w:rPr>
        <w:t xml:space="preserve">Multi-year panel study   |   </w:t>
      </w:r>
      <w:r>
        <w:rPr>
          <w:rFonts w:ascii="Arial" w:cs="Arial" w:eastAsia="Arial" w:hAnsi="Arial"/>
          <w:b/>
          <w:bCs/>
          <w:color w:val="1A2B3C"/>
          <w:sz w:val="22"/>
          <w:szCs w:val="22"/>
        </w:rPr>
        <w:t xml:space="preserve">Scale: </w:t>
      </w:r>
      <w:r>
        <w:rPr>
          <w:rFonts w:ascii="Arial" w:cs="Arial" w:eastAsia="Arial" w:hAnsi="Arial"/>
          <w:color w:val="1A2B3C"/>
          <w:sz w:val="22"/>
          <w:szCs w:val="22"/>
        </w:rPr>
        <w:t xml:space="preserve">1.5 million product pages across 1,200+ retail &amp; brand sites</w:t>
      </w:r>
    </w:p>
    <w:p>
      <w:pPr>
        <w:spacing w:before="80" w:after="0"/>
      </w:pPr>
      <w:r>
        <w:t xml:space="preserve"/>
      </w:r>
    </w:p>
    <w:p>
      <w:pPr>
        <w:spacing w:before="60" w:after="100"/>
      </w:pPr>
      <w:r>
        <w:rPr>
          <w:rFonts w:ascii="Arial" w:cs="Arial" w:eastAsia="Arial" w:hAnsi="Arial"/>
          <w:color w:val="1A2B3C"/>
          <w:sz w:val="22"/>
          <w:szCs w:val="22"/>
        </w:rPr>
        <w:t xml:space="preserve">The most methodologically credible study in this entire evidence stack. PowerReviews tracked actual consumer behavior across 1.5 million PDPs over multiple years, measuring the conversion impact of UGC at different levels of engagement — passive impression through to active video interaction.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2200"/>
      </w:tblGrid>
      <w:tr>
        <w:trPr>
          <w:tblHeader/>
        </w:trPr>
        <w:tc>
          <w:tcPr>
            <w:tcW w:type="dxa" w:w="280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Engagement Level</w:t>
            </w:r>
          </w:p>
        </w:tc>
        <w:tc>
          <w:tcPr>
            <w:tcW w:type="dxa" w:w="356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What Happened</w:t>
            </w:r>
          </w:p>
        </w:tc>
        <w:tc>
          <w:tcPr>
            <w:tcW w:type="dxa" w:w="220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Conversion Lift</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No UGC served</w:t>
            </w:r>
          </w:p>
        </w:tc>
        <w:tc>
          <w:tcPr>
            <w:tcW w:type="dxa" w:w="3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Control — static page</w:t>
            </w:r>
          </w:p>
        </w:tc>
        <w:tc>
          <w:tcPr>
            <w:tcW w:type="dxa" w:w="2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Baseline</w:t>
            </w:r>
          </w:p>
        </w:tc>
      </w:tr>
      <w:tr>
        <w:tc>
          <w:tcPr>
            <w:tcW w:type="dxa" w:w="28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Passive UGC impression</w:t>
            </w:r>
          </w:p>
        </w:tc>
        <w:tc>
          <w:tcPr>
            <w:tcW w:type="dxa" w:w="356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UGC loaded on page, not interacted with</w:t>
            </w:r>
          </w:p>
        </w:tc>
        <w:tc>
          <w:tcPr>
            <w:tcW w:type="dxa" w:w="22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+3.8% to +8.5%</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Any active UGC interaction</w:t>
            </w:r>
          </w:p>
        </w:tc>
        <w:tc>
          <w:tcPr>
            <w:tcW w:type="dxa" w:w="3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User clicked, played, or expanded content</w:t>
            </w:r>
          </w:p>
        </w:tc>
        <w:tc>
          <w:tcPr>
            <w:tcW w:type="dxa" w:w="2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+103.9% (2022)</w:t>
            </w:r>
          </w:p>
        </w:tc>
      </w:tr>
      <w:tr>
        <w:tc>
          <w:tcPr>
            <w:tcW w:type="dxa" w:w="28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Clicked 'Next' in video carousel</w:t>
            </w:r>
          </w:p>
        </w:tc>
        <w:tc>
          <w:tcPr>
            <w:tcW w:type="dxa" w:w="356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Navigated between videos</w:t>
            </w:r>
          </w:p>
        </w:tc>
        <w:tc>
          <w:tcPr>
            <w:tcW w:type="dxa" w:w="22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+106.3%</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Expanded video to full screen</w:t>
            </w:r>
          </w:p>
        </w:tc>
        <w:tc>
          <w:tcPr>
            <w:tcW w:type="dxa" w:w="3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Clicked to enlarge</w:t>
            </w:r>
          </w:p>
        </w:tc>
        <w:tc>
          <w:tcPr>
            <w:tcW w:type="dxa" w:w="2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+103.1%</w:t>
            </w:r>
          </w:p>
        </w:tc>
      </w:tr>
      <w:tr>
        <w:tc>
          <w:tcPr>
            <w:tcW w:type="dxa" w:w="28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Interacted with Q&amp;A + visual UGC</w:t>
            </w:r>
          </w:p>
        </w:tc>
        <w:tc>
          <w:tcPr>
            <w:tcW w:type="dxa" w:w="356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Combined engagement</w:t>
            </w:r>
          </w:p>
        </w:tc>
        <w:tc>
          <w:tcPr>
            <w:tcW w:type="dxa" w:w="22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+108.6%</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none" w:color="FFFFFF" w:sz="0"/>
              <w:bottom w:val="none" w:color="FFFFFF" w:sz="0"/>
              <w:right w:val="none" w:color="FFFFFF" w:sz="0"/>
            </w:tcBorders>
            <w:shd w:fill="E6F5EE" w:val="clear"/>
            <w:tcMar>
              <w:top w:type="dxa" w:w="140"/>
              <w:left w:type="dxa" w:w="200"/>
              <w:bottom w:type="dxa" w:w="140"/>
              <w:right w:type="dxa" w:w="200"/>
            </w:tcMar>
          </w:tcPr>
          <w:p>
            <w:pPr>
              <w:spacing w:before="0" w:after="60"/>
            </w:pPr>
            <w:r>
              <w:rPr>
                <w:rFonts w:ascii="Arial" w:cs="Arial" w:eastAsia="Arial" w:hAnsi="Arial"/>
                <w:b/>
                <w:bCs/>
                <w:color w:val="1A7A4A"/>
                <w:sz w:val="22"/>
                <w:szCs w:val="22"/>
              </w:rPr>
              <w:t xml:space="preserve">★ The critical insight: Interaction is the multiplier</w:t>
            </w:r>
          </w:p>
          <w:p>
            <w:pPr>
              <w:spacing w:before="0" w:after="0"/>
            </w:pPr>
            <w:r>
              <w:rPr>
                <w:rFonts w:ascii="Arial" w:cs="Arial" w:eastAsia="Arial" w:hAnsi="Arial"/>
                <w:color w:val="1A2B3C"/>
                <w:sz w:val="21"/>
                <w:szCs w:val="21"/>
              </w:rPr>
              <w:t xml:space="preserve">Simply having video on the page lifts conversion modestly (+3.8–8.5%). But when a user actively engages with the video — plays it, navigates through a carousel, or watches it fully — conversion lifts by over 100%. This means placement strategy is everything: the video must be surfaced prominently enough to invite interaction, not buried below the fold where it loads but never gets played.</w:t>
            </w:r>
          </w:p>
        </w:tc>
      </w:tr>
    </w:tbl>
    <w:p>
      <w:pPr>
        <w:spacing w:before="160" w:after="0"/>
      </w:pPr>
      <w:r>
        <w:t xml:space="preserve"/>
      </w:r>
    </w:p>
    <w:p>
      <w:pPr>
        <w:pStyle w:val="Heading2"/>
        <w:pBdr>
          <w:bottom w:val="single" w:color="C5DCF0" w:sz="4" w:space="4"/>
        </w:pBdr>
        <w:spacing w:before="280" w:after="120"/>
      </w:pPr>
      <w:r>
        <w:rPr>
          <w:rFonts w:ascii="Arial" w:cs="Arial" w:eastAsia="Arial" w:hAnsi="Arial"/>
          <w:b/>
          <w:bCs/>
          <w:color w:val="2D6A9B"/>
          <w:sz w:val="26"/>
          <w:szCs w:val="26"/>
        </w:rPr>
        <w:t xml:space="preserve">2.4  Bazaarvoice / Forrester TEI — Independent Audit Across 9 Brands</w:t>
      </w:r>
    </w:p>
    <w:p>
      <w:pPr>
        <w:spacing w:before="60" w:after="100"/>
      </w:pPr>
      <w:r>
        <w:rPr>
          <w:rFonts w:ascii="Arial" w:cs="Arial" w:eastAsia="Arial" w:hAnsi="Arial"/>
          <w:b/>
          <w:bCs/>
          <w:color w:val="1A2B3C"/>
          <w:sz w:val="22"/>
          <w:szCs w:val="22"/>
        </w:rPr>
        <w:t xml:space="preserve">Type: </w:t>
      </w:r>
      <w:r>
        <w:rPr>
          <w:rFonts w:ascii="Arial" w:cs="Arial" w:eastAsia="Arial" w:hAnsi="Arial"/>
          <w:color w:val="1A2B3C"/>
          <w:sz w:val="22"/>
          <w:szCs w:val="22"/>
        </w:rPr>
        <w:t xml:space="preserve">Forrester Total Economic Impact™ study — commissioned, independent   |   </w:t>
      </w:r>
      <w:r>
        <w:rPr>
          <w:rFonts w:ascii="Arial" w:cs="Arial" w:eastAsia="Arial" w:hAnsi="Arial"/>
          <w:b/>
          <w:bCs/>
          <w:color w:val="1A2B3C"/>
          <w:sz w:val="22"/>
          <w:szCs w:val="22"/>
        </w:rPr>
        <w:t xml:space="preserve">Platform: </w:t>
      </w:r>
      <w:r>
        <w:rPr>
          <w:rFonts w:ascii="Arial" w:cs="Arial" w:eastAsia="Arial" w:hAnsi="Arial"/>
          <w:color w:val="1A2B3C"/>
          <w:sz w:val="22"/>
          <w:szCs w:val="22"/>
        </w:rPr>
        <w:t xml:space="preserve">Bazaarvoice</w:t>
      </w:r>
    </w:p>
    <w:p>
      <w:pPr>
        <w:spacing w:before="80" w:after="0"/>
      </w:pPr>
      <w:r>
        <w:t xml:space="preserve"/>
      </w:r>
    </w:p>
    <w:p>
      <w:pPr>
        <w:spacing w:before="60" w:after="100"/>
      </w:pPr>
      <w:r>
        <w:rPr>
          <w:rFonts w:ascii="Arial" w:cs="Arial" w:eastAsia="Arial" w:hAnsi="Arial"/>
          <w:color w:val="1A2B3C"/>
          <w:sz w:val="22"/>
          <w:szCs w:val="22"/>
        </w:rPr>
        <w:t xml:space="preserve">Forrester Consulting — not Bazaarvoice — conducted this independent audit, interviewing decision-makers across 9 brands and retailers. This carries significantly more credibility in a boardroom setting than self-reported vendor data because the methodology and findings are independently verified.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CE8" w:sz="1"/>
              <w:left w:val="single" w:color="D0DCE8" w:sz="1"/>
              <w:bottom w:val="single" w:color="D0DCE8" w:sz="1"/>
              <w:right w:val="single" w:color="D0DCE8" w:sz="1"/>
            </w:tcBorders>
            <w:shd w:fill="E8F1F8" w:val="clear"/>
            <w:tcMar>
              <w:top w:type="dxa" w:w="120"/>
              <w:left w:type="dxa" w:w="120"/>
              <w:bottom w:type="dxa" w:w="120"/>
              <w:right w:type="dxa" w:w="120"/>
            </w:tcMar>
          </w:tcPr>
          <w:p>
            <w:pPr>
              <w:spacing w:before="0" w:after="40"/>
              <w:jc w:val="center"/>
            </w:pPr>
            <w:r>
              <w:rPr>
                <w:rFonts w:ascii="Arial" w:cs="Arial" w:eastAsia="Arial" w:hAnsi="Arial"/>
                <w:b/>
                <w:bCs/>
                <w:color w:val="2D6A9B"/>
                <w:sz w:val="40"/>
                <w:szCs w:val="40"/>
              </w:rPr>
              <w:t xml:space="preserve">+200%</w:t>
            </w:r>
          </w:p>
          <w:p>
            <w:pPr>
              <w:jc w:val="center"/>
            </w:pPr>
            <w:r>
              <w:rPr>
                <w:rFonts w:ascii="Arial" w:cs="Arial" w:eastAsia="Arial" w:hAnsi="Arial"/>
                <w:color w:val="6B7B8D"/>
                <w:sz w:val="18"/>
                <w:szCs w:val="18"/>
              </w:rPr>
              <w:t xml:space="preserve">CVR improvement
with visual &amp; social content</w:t>
            </w:r>
          </w:p>
        </w:tc>
        <w:tc>
          <w:tcPr>
            <w:tcW w:type="dxa" w:w="3120"/>
            <w:tcBorders>
              <w:top w:val="single" w:color="D0DCE8" w:sz="1"/>
              <w:left w:val="single" w:color="D0DCE8" w:sz="1"/>
              <w:bottom w:val="single" w:color="D0DCE8" w:sz="1"/>
              <w:right w:val="single" w:color="D0DCE8" w:sz="1"/>
            </w:tcBorders>
            <w:shd w:fill="E8F1F8" w:val="clear"/>
            <w:tcMar>
              <w:top w:type="dxa" w:w="120"/>
              <w:left w:type="dxa" w:w="120"/>
              <w:bottom w:type="dxa" w:w="120"/>
              <w:right w:type="dxa" w:w="120"/>
            </w:tcMar>
          </w:tcPr>
          <w:p>
            <w:pPr>
              <w:spacing w:before="0" w:after="40"/>
              <w:jc w:val="center"/>
            </w:pPr>
            <w:r>
              <w:rPr>
                <w:rFonts w:ascii="Arial" w:cs="Arial" w:eastAsia="Arial" w:hAnsi="Arial"/>
                <w:b/>
                <w:bCs/>
                <w:color w:val="2D6A9B"/>
                <w:sz w:val="40"/>
                <w:szCs w:val="40"/>
              </w:rPr>
              <w:t xml:space="preserve">8%</w:t>
            </w:r>
          </w:p>
          <w:p>
            <w:pPr>
              <w:jc w:val="center"/>
            </w:pPr>
            <w:r>
              <w:rPr>
                <w:rFonts w:ascii="Arial" w:cs="Arial" w:eastAsia="Arial" w:hAnsi="Arial"/>
                <w:color w:val="6B7B8D"/>
                <w:sz w:val="18"/>
                <w:szCs w:val="18"/>
              </w:rPr>
              <w:t xml:space="preserve">CVR for brands
running sampling campaigns</w:t>
            </w:r>
          </w:p>
        </w:tc>
        <w:tc>
          <w:tcPr>
            <w:tcW w:type="dxa" w:w="3120"/>
            <w:tcBorders>
              <w:top w:val="single" w:color="D0DCE8" w:sz="1"/>
              <w:left w:val="single" w:color="D0DCE8" w:sz="1"/>
              <w:bottom w:val="single" w:color="D0DCE8" w:sz="1"/>
              <w:right w:val="single" w:color="D0DCE8" w:sz="1"/>
            </w:tcBorders>
            <w:shd w:fill="E8F1F8" w:val="clear"/>
            <w:tcMar>
              <w:top w:type="dxa" w:w="120"/>
              <w:left w:type="dxa" w:w="120"/>
              <w:bottom w:type="dxa" w:w="120"/>
              <w:right w:type="dxa" w:w="120"/>
            </w:tcMar>
          </w:tcPr>
          <w:p>
            <w:pPr>
              <w:spacing w:before="0" w:after="40"/>
              <w:jc w:val="center"/>
            </w:pPr>
            <w:r>
              <w:rPr>
                <w:rFonts w:ascii="Arial" w:cs="Arial" w:eastAsia="Arial" w:hAnsi="Arial"/>
                <w:b/>
                <w:bCs/>
                <w:color w:val="2D6A9B"/>
                <w:sz w:val="40"/>
                <w:szCs w:val="40"/>
              </w:rPr>
              <w:t xml:space="preserve">+300%</w:t>
            </w:r>
          </w:p>
          <w:p>
            <w:pPr>
              <w:jc w:val="center"/>
            </w:pPr>
            <w:r>
              <w:rPr>
                <w:rFonts w:ascii="Arial" w:cs="Arial" w:eastAsia="Arial" w:hAnsi="Arial"/>
                <w:color w:val="6B7B8D"/>
                <w:sz w:val="18"/>
                <w:szCs w:val="18"/>
              </w:rPr>
              <w:t xml:space="preserve">CVR jump when
shoppers engaged with content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9B" w:sz="8"/>
              <w:left w:val="none" w:color="FFFFFF" w:sz="0"/>
              <w:bottom w:val="none" w:color="FFFFFF" w:sz="0"/>
              <w:right w:val="none" w:color="FFFFFF" w:sz="0"/>
            </w:tcBorders>
            <w:shd w:fill="E8F1F8" w:val="clear"/>
            <w:tcMar>
              <w:top w:type="dxa" w:w="140"/>
              <w:left w:type="dxa" w:w="200"/>
              <w:bottom w:type="dxa" w:w="140"/>
              <w:right w:type="dxa" w:w="200"/>
            </w:tcMar>
          </w:tcPr>
          <w:p>
            <w:pPr>
              <w:spacing w:before="0" w:after="60"/>
            </w:pPr>
            <w:r>
              <w:rPr>
                <w:rFonts w:ascii="Arial" w:cs="Arial" w:eastAsia="Arial" w:hAnsi="Arial"/>
                <w:b/>
                <w:bCs/>
                <w:color w:val="2D6A9B"/>
                <w:sz w:val="22"/>
                <w:szCs w:val="22"/>
              </w:rPr>
              <w:t xml:space="preserve">Why Forrester matters in a proposal context</w:t>
            </w:r>
          </w:p>
          <w:p>
            <w:pPr>
              <w:spacing w:before="0" w:after="0"/>
            </w:pPr>
            <w:r>
              <w:rPr>
                <w:rFonts w:ascii="Arial" w:cs="Arial" w:eastAsia="Arial" w:hAnsi="Arial"/>
                <w:color w:val="1A2B3C"/>
                <w:sz w:val="21"/>
                <w:szCs w:val="21"/>
              </w:rPr>
              <w:t xml:space="preserve">The Forrester name gives this data boardroom credibility. When presenting to a CMO or VP, a Forrester-audited figure carries a different weight than a vendor-reported case study. The 200% CVR lift is the same magnitude as the Marketing Experiments A/B test — two completely different methodologies, same result. That convergence is the argument.</w:t>
            </w:r>
          </w:p>
        </w:tc>
      </w:tr>
    </w:tbl>
    <w:p>
      <w:pPr>
        <w:spacing w:before="160" w:after="0"/>
      </w:pPr>
      <w:r>
        <w:t xml:space="preserve"/>
      </w:r>
    </w:p>
    <w:p>
      <w:pPr>
        <w:pStyle w:val="Heading2"/>
        <w:pBdr>
          <w:bottom w:val="single" w:color="C5DCF0" w:sz="4" w:space="4"/>
        </w:pBdr>
        <w:spacing w:before="280" w:after="120"/>
      </w:pPr>
      <w:r>
        <w:rPr>
          <w:rFonts w:ascii="Arial" w:cs="Arial" w:eastAsia="Arial" w:hAnsi="Arial"/>
          <w:b/>
          <w:bCs/>
          <w:color w:val="2D6A9B"/>
          <w:sz w:val="26"/>
          <w:szCs w:val="26"/>
        </w:rPr>
        <w:t xml:space="preserve">2.5  Bazaarvoice — Food &amp; Supplement Category-Specific UGC Data</w:t>
      </w:r>
    </w:p>
    <w:p>
      <w:pPr>
        <w:spacing w:before="60" w:after="100"/>
      </w:pPr>
      <w:r>
        <w:rPr>
          <w:rFonts w:ascii="Arial" w:cs="Arial" w:eastAsia="Arial" w:hAnsi="Arial"/>
          <w:b/>
          <w:bCs/>
          <w:color w:val="1A2B3C"/>
          <w:sz w:val="22"/>
          <w:szCs w:val="22"/>
        </w:rPr>
        <w:t xml:space="preserve">Type: </w:t>
      </w:r>
      <w:r>
        <w:rPr>
          <w:rFonts w:ascii="Arial" w:cs="Arial" w:eastAsia="Arial" w:hAnsi="Arial"/>
          <w:color w:val="1A2B3C"/>
          <w:sz w:val="22"/>
          <w:szCs w:val="22"/>
        </w:rPr>
        <w:t xml:space="preserve">Cross-industry shopper behaviour dataset   |   </w:t>
      </w:r>
      <w:r>
        <w:rPr>
          <w:rFonts w:ascii="Arial" w:cs="Arial" w:eastAsia="Arial" w:hAnsi="Arial"/>
          <w:b/>
          <w:bCs/>
          <w:color w:val="1A2B3C"/>
          <w:sz w:val="22"/>
          <w:szCs w:val="22"/>
        </w:rPr>
        <w:t xml:space="preserve">Relevance: </w:t>
      </w:r>
      <w:r>
        <w:rPr>
          <w:rFonts w:ascii="Arial" w:cs="Arial" w:eastAsia="Arial" w:hAnsi="Arial"/>
          <w:color w:val="1A2B3C"/>
          <w:sz w:val="22"/>
          <w:szCs w:val="22"/>
        </w:rPr>
        <w:t xml:space="preserve">Directly addresses the food/nutrition vertical</w:t>
      </w:r>
    </w:p>
    <w:p>
      <w:pPr>
        <w:spacing w:before="80" w:after="0"/>
      </w:pPr>
      <w:r>
        <w:t xml:space="preserve"/>
      </w:r>
    </w:p>
    <w:p>
      <w:pPr>
        <w:spacing w:before="60" w:after="100"/>
      </w:pPr>
      <w:r>
        <w:rPr>
          <w:rFonts w:ascii="Arial" w:cs="Arial" w:eastAsia="Arial" w:hAnsi="Arial"/>
          <w:color w:val="1A2B3C"/>
          <w:sz w:val="22"/>
          <w:szCs w:val="22"/>
        </w:rPr>
        <w:t xml:space="preserve">This is the one study that answers 'does UGC video work specifically in food and nutrition?' with category-level data rather than general ecommerce averages. The dataset isolates the food &amp; tobacco category and compares its UGC conversion rate to the overall cross-industry average.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8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UGC Engagement CVR</w:t>
            </w:r>
          </w:p>
        </w:tc>
        <w:tc>
          <w:tcPr>
            <w:tcW w:type="dxa" w:w="288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vs. Cross-Industry Avg</w:t>
            </w:r>
          </w:p>
        </w:tc>
      </w:tr>
      <w:tr>
        <w:tc>
          <w:tcPr>
            <w:tcW w:type="dxa" w:w="3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All industries (overall average)</w:t>
            </w:r>
          </w:p>
        </w:tc>
        <w:tc>
          <w:tcPr>
            <w:tcW w:type="dxa" w:w="28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3.28%</w:t>
            </w:r>
          </w:p>
        </w:tc>
        <w:tc>
          <w:tcPr>
            <w:tcW w:type="dxa" w:w="28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Baseline</w:t>
            </w:r>
          </w:p>
        </w:tc>
      </w:tr>
      <w:tr>
        <w:tc>
          <w:tcPr>
            <w:tcW w:type="dxa" w:w="36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Food &amp; Tobacco / Nutrition</w:t>
            </w:r>
          </w:p>
        </w:tc>
        <w:tc>
          <w:tcPr>
            <w:tcW w:type="dxa" w:w="288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9.19%</w:t>
            </w:r>
          </w:p>
        </w:tc>
        <w:tc>
          <w:tcPr>
            <w:tcW w:type="dxa" w:w="288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2.8× higher</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A2D" w:sz="8"/>
              <w:left w:val="none" w:color="FFFFFF" w:sz="0"/>
              <w:bottom w:val="none" w:color="FFFFFF" w:sz="0"/>
              <w:right w:val="none" w:color="FFFFFF" w:sz="0"/>
            </w:tcBorders>
            <w:shd w:fill="FFF8F5" w:val="clear"/>
            <w:tcMar>
              <w:top w:type="dxa" w:w="140"/>
              <w:left w:type="dxa" w:w="200"/>
              <w:bottom w:type="dxa" w:w="140"/>
              <w:right w:type="dxa" w:w="200"/>
            </w:tcMar>
          </w:tcPr>
          <w:p>
            <w:pPr>
              <w:spacing w:before="0" w:after="60"/>
            </w:pPr>
            <w:r>
              <w:rPr>
                <w:rFonts w:ascii="Arial" w:cs="Arial" w:eastAsia="Arial" w:hAnsi="Arial"/>
                <w:b/>
                <w:bCs/>
                <w:color w:val="E86A2D"/>
                <w:sz w:val="22"/>
                <w:szCs w:val="22"/>
              </w:rPr>
              <w:t xml:space="preserve">The category-specific argument for Just Ingredients</w:t>
            </w:r>
          </w:p>
          <w:p>
            <w:pPr>
              <w:spacing w:before="0" w:after="0"/>
            </w:pPr>
            <w:r>
              <w:rPr>
                <w:rFonts w:ascii="Arial" w:cs="Arial" w:eastAsia="Arial" w:hAnsi="Arial"/>
                <w:color w:val="1A2B3C"/>
                <w:sz w:val="21"/>
                <w:szCs w:val="21"/>
              </w:rPr>
              <w:t xml:space="preserve">Supplement and food shoppers convert at nearly 3× the industry average when they engage with UGC on a product page. This is the most specific data point available confirming that Just Ingredients' audience — health-conscious buyers researching ingestible products — are uniquely responsive to peer-generated video content. The data suggests this audience actively seeks social validation before buying, making video UGC on the PDP a particularly high-leverage investment in this vertical.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9B" w:val="clear"/>
            <w:tcMar>
              <w:top w:type="dxa" w:w="120"/>
              <w:left w:type="dxa" w:w="240"/>
              <w:bottom w:type="dxa" w:w="120"/>
              <w:right w:type="dxa" w:w="240"/>
            </w:tcMar>
          </w:tcPr>
          <w:p>
            <w:r>
              <w:rPr>
                <w:rFonts w:ascii="Arial" w:cs="Arial" w:eastAsia="Arial" w:hAnsi="Arial"/>
                <w:b/>
                <w:bCs/>
                <w:color w:val="FFFFFF"/>
                <w:sz w:val="24"/>
                <w:szCs w:val="24"/>
              </w:rPr>
              <w:t xml:space="preserve">PART 3: EVIDENCE BY VIDEO TYPE — THE LIFT ISN'T LIMITED TO ONE FORMAT</w:t>
            </w:r>
          </w:p>
        </w:tc>
      </w:tr>
    </w:tbl>
    <w:p>
      <w:pPr>
        <w:spacing w:before="120" w:after="0"/>
      </w:pPr>
      <w:r>
        <w:t xml:space="preserve"/>
      </w:r>
    </w:p>
    <w:p>
      <w:pPr>
        <w:spacing w:before="60" w:after="100"/>
      </w:pPr>
      <w:r>
        <w:rPr>
          <w:rFonts w:ascii="Arial" w:cs="Arial" w:eastAsia="Arial" w:hAnsi="Arial"/>
          <w:color w:val="1A2B3C"/>
          <w:sz w:val="22"/>
          <w:szCs w:val="22"/>
        </w:rPr>
        <w:t xml:space="preserve">A key argument for this proposal: the conversion uplift from video is not dependent on a single format. Different video types serve different parts of the decision journey — and all of them show measurable lift. Just Ingredients has content across all of these types already available from its creator ecosystem.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2000"/>
        <w:gridCol w:w="2160"/>
      </w:tblGrid>
      <w:tr>
        <w:trPr>
          <w:tblHeader/>
        </w:trPr>
        <w:tc>
          <w:tcPr>
            <w:tcW w:type="dxa" w:w="250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Video Type</w:t>
            </w:r>
          </w:p>
        </w:tc>
        <w:tc>
          <w:tcPr>
            <w:tcW w:type="dxa" w:w="270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Key Study</w:t>
            </w:r>
          </w:p>
        </w:tc>
        <w:tc>
          <w:tcPr>
            <w:tcW w:type="dxa" w:w="200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6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Vertical</w:t>
            </w:r>
          </w:p>
        </w:tc>
      </w:tr>
      <w:tr>
        <w:tc>
          <w:tcPr>
            <w:tcW w:type="dxa" w:w="2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Creator / influencer testimonial</w:t>
            </w:r>
          </w:p>
        </w:tc>
        <w:tc>
          <w:tcPr>
            <w:tcW w:type="dxa" w:w="27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SNEAK × Videowise (A/B tested)</w:t>
            </w:r>
          </w:p>
        </w:tc>
        <w:tc>
          <w:tcPr>
            <w:tcW w:type="dxa" w:w="2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+26% revenue</w:t>
            </w:r>
          </w:p>
        </w:tc>
        <w:tc>
          <w:tcPr>
            <w:tcW w:type="dxa" w:w="21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Supplements ✓✓</w:t>
            </w:r>
          </w:p>
        </w:tc>
      </w:tr>
      <w:tr>
        <w:tc>
          <w:tcPr>
            <w:tcW w:type="dxa" w:w="25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Founder-led tutorial</w:t>
            </w:r>
          </w:p>
        </w:tc>
        <w:tc>
          <w:tcPr>
            <w:tcW w:type="dxa" w:w="27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Sculpted by Aimee</w:t>
            </w:r>
          </w:p>
        </w:tc>
        <w:tc>
          <w:tcPr>
            <w:tcW w:type="dxa" w:w="20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8.6% CVR (vs 1.8% avg)</w:t>
            </w:r>
          </w:p>
        </w:tc>
        <w:tc>
          <w:tcPr>
            <w:tcW w:type="dxa" w:w="216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Beauty / ingredient-trust ✓✓</w:t>
            </w:r>
          </w:p>
        </w:tc>
      </w:tr>
      <w:tr>
        <w:tc>
          <w:tcPr>
            <w:tcW w:type="dxa" w:w="2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Pre-validated influencer content</w:t>
            </w:r>
          </w:p>
        </w:tc>
        <w:tc>
          <w:tcPr>
            <w:tcW w:type="dxa" w:w="27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Wonderskin × Insense</w:t>
            </w:r>
          </w:p>
        </w:tc>
        <w:tc>
          <w:tcPr>
            <w:tcW w:type="dxa" w:w="2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+26% CVR, $1.7M revenue</w:t>
            </w:r>
          </w:p>
        </w:tc>
        <w:tc>
          <w:tcPr>
            <w:tcW w:type="dxa" w:w="21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Skincare ✓</w:t>
            </w:r>
          </w:p>
        </w:tc>
      </w:tr>
      <w:tr>
        <w:tc>
          <w:tcPr>
            <w:tcW w:type="dxa" w:w="25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Video testimonial vs. text</w:t>
            </w:r>
          </w:p>
        </w:tc>
        <w:tc>
          <w:tcPr>
            <w:tcW w:type="dxa" w:w="27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Marketing Experiments (A/B)</w:t>
            </w:r>
          </w:p>
        </w:tc>
        <w:tc>
          <w:tcPr>
            <w:tcW w:type="dxa" w:w="20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+201% CVR vs. text social proof</w:t>
            </w:r>
          </w:p>
        </w:tc>
        <w:tc>
          <w:tcPr>
            <w:tcW w:type="dxa" w:w="216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General ecommerce</w:t>
            </w:r>
          </w:p>
        </w:tc>
      </w:tr>
      <w:tr>
        <w:tc>
          <w:tcPr>
            <w:tcW w:type="dxa" w:w="2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Creator UGC (before/after)</w:t>
            </w:r>
          </w:p>
        </w:tc>
        <w:tc>
          <w:tcPr>
            <w:tcW w:type="dxa" w:w="27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Kate Somerville × Hue/Shoplift</w:t>
            </w:r>
          </w:p>
        </w:tc>
        <w:tc>
          <w:tcPr>
            <w:tcW w:type="dxa" w:w="2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+23.9% CVR (A/B tested)</w:t>
            </w:r>
          </w:p>
        </w:tc>
        <w:tc>
          <w:tcPr>
            <w:tcW w:type="dxa" w:w="21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Skincare ✓</w:t>
            </w:r>
          </w:p>
        </w:tc>
      </w:tr>
      <w:tr>
        <w:tc>
          <w:tcPr>
            <w:tcW w:type="dxa" w:w="25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Short-form shoppable video</w:t>
            </w:r>
          </w:p>
        </w:tc>
        <w:tc>
          <w:tcPr>
            <w:tcW w:type="dxa" w:w="27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Firework platform data</w:t>
            </w:r>
          </w:p>
        </w:tc>
        <w:tc>
          <w:tcPr>
            <w:tcW w:type="dxa" w:w="20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41% of viewers purchase</w:t>
            </w:r>
          </w:p>
        </w:tc>
        <w:tc>
          <w:tcPr>
            <w:tcW w:type="dxa" w:w="216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Cross-vertical</w:t>
            </w:r>
          </w:p>
        </w:tc>
      </w:tr>
      <w:tr>
        <w:tc>
          <w:tcPr>
            <w:tcW w:type="dxa" w:w="2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Live 1:1 consultation video</w:t>
            </w:r>
          </w:p>
        </w:tc>
        <w:tc>
          <w:tcPr>
            <w:tcW w:type="dxa" w:w="27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Bangerhead × Bambuser</w:t>
            </w:r>
          </w:p>
        </w:tc>
        <w:tc>
          <w:tcPr>
            <w:tcW w:type="dxa" w:w="2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69% conversion rate</w:t>
            </w:r>
          </w:p>
        </w:tc>
        <w:tc>
          <w:tcPr>
            <w:tcW w:type="dxa" w:w="21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Beauty ✓</w:t>
            </w:r>
          </w:p>
        </w:tc>
      </w:tr>
      <w:tr>
        <w:tc>
          <w:tcPr>
            <w:tcW w:type="dxa" w:w="25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Live 1:many creator event</w:t>
            </w:r>
          </w:p>
        </w:tc>
        <w:tc>
          <w:tcPr>
            <w:tcW w:type="dxa" w:w="27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Pai Skincare × Bambuser</w:t>
            </w:r>
          </w:p>
        </w:tc>
        <w:tc>
          <w:tcPr>
            <w:tcW w:type="dxa" w:w="20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17% CVR; 10% of annual revenue</w:t>
            </w:r>
          </w:p>
        </w:tc>
        <w:tc>
          <w:tcPr>
            <w:tcW w:type="dxa" w:w="216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Skincare ✓</w:t>
            </w:r>
          </w:p>
        </w:tc>
      </w:tr>
    </w:tbl>
    <w:p>
      <w:pPr>
        <w:spacing w:before="160" w:after="0"/>
      </w:pPr>
      <w:r>
        <w:t xml:space="preserve"/>
      </w:r>
    </w:p>
    <w:p>
      <w:pPr>
        <w:pStyle w:val="Heading2"/>
        <w:pBdr>
          <w:bottom w:val="single" w:color="C5DCF0" w:sz="4" w:space="4"/>
        </w:pBdr>
        <w:spacing w:before="280" w:after="120"/>
      </w:pPr>
      <w:r>
        <w:rPr>
          <w:rFonts w:ascii="Arial" w:cs="Arial" w:eastAsia="Arial" w:hAnsi="Arial"/>
          <w:b/>
          <w:bCs/>
          <w:color w:val="2D6A9B"/>
          <w:sz w:val="26"/>
          <w:szCs w:val="26"/>
        </w:rPr>
        <w:t xml:space="preserve">Platform Comparison — Non-Videowise Solutions</w:t>
      </w:r>
    </w:p>
    <w:p>
      <w:pPr>
        <w:spacing w:before="60" w:after="100"/>
      </w:pPr>
      <w:r>
        <w:rPr>
          <w:rFonts w:ascii="Arial" w:cs="Arial" w:eastAsia="Arial" w:hAnsi="Arial"/>
          <w:color w:val="1A2B3C"/>
          <w:sz w:val="22"/>
          <w:szCs w:val="22"/>
        </w:rPr>
        <w:t xml:space="preserve">For proposal credibility, it is important to demonstrate the lift is platform-agnostic. The following platforms each have independent case study data: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760"/>
        <w:gridCol w:w="1800"/>
      </w:tblGrid>
      <w:tr>
        <w:trPr>
          <w:tblHeader/>
        </w:trPr>
        <w:tc>
          <w:tcPr>
            <w:tcW w:type="dxa" w:w="240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40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Key Brand</w:t>
            </w:r>
          </w:p>
        </w:tc>
        <w:tc>
          <w:tcPr>
            <w:tcW w:type="dxa" w:w="276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Primary Metric</w:t>
            </w:r>
          </w:p>
        </w:tc>
        <w:tc>
          <w:tcPr>
            <w:tcW w:type="dxa" w:w="180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Vertical</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Bazaarvoice</w:t>
            </w:r>
          </w:p>
        </w:tc>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Iconic London</w:t>
            </w:r>
          </w:p>
        </w:tc>
        <w:tc>
          <w:tcPr>
            <w:tcW w:type="dxa" w:w="2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+126% CVR, +11% AOV</w:t>
            </w:r>
          </w:p>
        </w:tc>
        <w:tc>
          <w:tcPr>
            <w:tcW w:type="dxa" w:w="1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Beauty ✓</w:t>
            </w:r>
          </w:p>
        </w:tc>
      </w:tr>
      <w:tr>
        <w:tc>
          <w:tcPr>
            <w:tcW w:type="dxa" w:w="24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Bazaarvoice</w:t>
            </w:r>
          </w:p>
        </w:tc>
        <w:tc>
          <w:tcPr>
            <w:tcW w:type="dxa" w:w="24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Oliver Bonas</w:t>
            </w:r>
          </w:p>
        </w:tc>
        <w:tc>
          <w:tcPr>
            <w:tcW w:type="dxa" w:w="276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+188% CVR, +26% AOV</w:t>
            </w:r>
          </w:p>
        </w:tc>
        <w:tc>
          <w:tcPr>
            <w:tcW w:type="dxa" w:w="18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Lifestyle retail</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Hue + Shoplift A/B</w:t>
            </w:r>
          </w:p>
        </w:tc>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Kate Somerville</w:t>
            </w:r>
          </w:p>
        </w:tc>
        <w:tc>
          <w:tcPr>
            <w:tcW w:type="dxa" w:w="2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+23.9% CVR (A/B tested)</w:t>
            </w:r>
          </w:p>
        </w:tc>
        <w:tc>
          <w:tcPr>
            <w:tcW w:type="dxa" w:w="1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Skincare ✓</w:t>
            </w:r>
          </w:p>
        </w:tc>
      </w:tr>
      <w:tr>
        <w:tc>
          <w:tcPr>
            <w:tcW w:type="dxa" w:w="24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Bambuser</w:t>
            </w:r>
          </w:p>
        </w:tc>
        <w:tc>
          <w:tcPr>
            <w:tcW w:type="dxa" w:w="24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Bangerhead</w:t>
            </w:r>
          </w:p>
        </w:tc>
        <w:tc>
          <w:tcPr>
            <w:tcW w:type="dxa" w:w="276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69% CVR — live video</w:t>
            </w:r>
          </w:p>
        </w:tc>
        <w:tc>
          <w:tcPr>
            <w:tcW w:type="dxa" w:w="18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Beauty ✓</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Bambuser</w:t>
            </w:r>
          </w:p>
        </w:tc>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Pai Skincare</w:t>
            </w:r>
          </w:p>
        </w:tc>
        <w:tc>
          <w:tcPr>
            <w:tcW w:type="dxa" w:w="2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17% CVR live; 10% annual revenue</w:t>
            </w:r>
          </w:p>
        </w:tc>
        <w:tc>
          <w:tcPr>
            <w:tcW w:type="dxa" w:w="1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Skincare ✓</w:t>
            </w:r>
          </w:p>
        </w:tc>
      </w:tr>
      <w:tr>
        <w:tc>
          <w:tcPr>
            <w:tcW w:type="dxa" w:w="24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Flowbox</w:t>
            </w:r>
          </w:p>
        </w:tc>
        <w:tc>
          <w:tcPr>
            <w:tcW w:type="dxa" w:w="24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CLUSE</w:t>
            </w:r>
          </w:p>
        </w:tc>
        <w:tc>
          <w:tcPr>
            <w:tcW w:type="dxa" w:w="276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+19% CVR</w:t>
            </w:r>
          </w:p>
        </w:tc>
        <w:tc>
          <w:tcPr>
            <w:tcW w:type="dxa" w:w="18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Accessories</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Flowbox</w:t>
            </w:r>
          </w:p>
        </w:tc>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XXL Nutrition</w:t>
            </w:r>
          </w:p>
        </w:tc>
        <w:tc>
          <w:tcPr>
            <w:tcW w:type="dxa" w:w="2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+88% AOV, +113% avg size value</w:t>
            </w:r>
          </w:p>
        </w:tc>
        <w:tc>
          <w:tcPr>
            <w:tcW w:type="dxa" w:w="1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Nutrition ✓✓</w:t>
            </w:r>
          </w:p>
        </w:tc>
      </w:tr>
      <w:tr>
        <w:tc>
          <w:tcPr>
            <w:tcW w:type="dxa" w:w="24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Insense → Videowise</w:t>
            </w:r>
          </w:p>
        </w:tc>
        <w:tc>
          <w:tcPr>
            <w:tcW w:type="dxa" w:w="24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Wonderskin</w:t>
            </w:r>
          </w:p>
        </w:tc>
        <w:tc>
          <w:tcPr>
            <w:tcW w:type="dxa" w:w="276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+26% CVR, $1.7M revenue</w:t>
            </w:r>
          </w:p>
        </w:tc>
        <w:tc>
          <w:tcPr>
            <w:tcW w:type="dxa" w:w="18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Skincare ✓</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Yotpo</w:t>
            </w:r>
          </w:p>
        </w:tc>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Bulk.com</w:t>
            </w:r>
          </w:p>
        </w:tc>
        <w:tc>
          <w:tcPr>
            <w:tcW w:type="dxa" w:w="2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+30% YoY growth, +150% time on site</w:t>
            </w:r>
          </w:p>
        </w:tc>
        <w:tc>
          <w:tcPr>
            <w:tcW w:type="dxa" w:w="1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Supplements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9B" w:val="clear"/>
            <w:tcMar>
              <w:top w:type="dxa" w:w="120"/>
              <w:left w:type="dxa" w:w="240"/>
              <w:bottom w:type="dxa" w:w="120"/>
              <w:right w:type="dxa" w:w="240"/>
            </w:tcMar>
          </w:tcPr>
          <w:p>
            <w:r>
              <w:rPr>
                <w:rFonts w:ascii="Arial" w:cs="Arial" w:eastAsia="Arial" w:hAnsi="Arial"/>
                <w:b/>
                <w:bCs/>
                <w:color w:val="FFFFFF"/>
                <w:sz w:val="24"/>
                <w:szCs w:val="24"/>
              </w:rPr>
              <w:t xml:space="preserve">PART 4: WHERE TO PLACE THE VIDEO — LOCATION EVIDENCE</w:t>
            </w:r>
          </w:p>
        </w:tc>
      </w:tr>
    </w:tbl>
    <w:p>
      <w:pPr>
        <w:spacing w:before="120" w:after="0"/>
      </w:pPr>
      <w:r>
        <w:t xml:space="preserve"/>
      </w:r>
    </w:p>
    <w:p>
      <w:pPr>
        <w:spacing w:before="60" w:after="100"/>
      </w:pPr>
      <w:r>
        <w:rPr>
          <w:rFonts w:ascii="Arial" w:cs="Arial" w:eastAsia="Arial" w:hAnsi="Arial"/>
          <w:color w:val="1A2B3C"/>
          <w:sz w:val="22"/>
          <w:szCs w:val="22"/>
        </w:rPr>
        <w:t xml:space="preserve">Video placement on a PDP is as important as having the video at all. The PowerReviews interaction data reveals a critical insight: passive video presence (it loads but isn't engaged with) delivers only a 3.8–8.5% lift. Active interaction delivers 103–108% lift. Placement determines whether the video gets interacted with.</w:t>
      </w:r>
    </w:p>
    <w:p>
      <w:pPr>
        <w:spacing w:before="120" w:after="0"/>
      </w:pPr>
      <w:r>
        <w:t xml:space="preserve"/>
      </w:r>
    </w:p>
    <w:p>
      <w:pPr>
        <w:pStyle w:val="Heading2"/>
        <w:pBdr>
          <w:bottom w:val="single" w:color="C5DCF0" w:sz="4" w:space="4"/>
        </w:pBdr>
        <w:spacing w:before="280" w:after="120"/>
      </w:pPr>
      <w:r>
        <w:rPr>
          <w:rFonts w:ascii="Arial" w:cs="Arial" w:eastAsia="Arial" w:hAnsi="Arial"/>
          <w:b/>
          <w:bCs/>
          <w:color w:val="2D6A9B"/>
          <w:sz w:val="26"/>
          <w:szCs w:val="26"/>
        </w:rPr>
        <w:t xml:space="preserve">Evidence-Based Placement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160"/>
        <w:gridCol w:w="1200"/>
      </w:tblGrid>
      <w:tr>
        <w:trPr>
          <w:tblHeader/>
        </w:trPr>
        <w:tc>
          <w:tcPr>
            <w:tcW w:type="dxa" w:w="220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240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316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Why It Works</w:t>
            </w:r>
          </w:p>
        </w:tc>
        <w:tc>
          <w:tcPr>
            <w:tcW w:type="dxa" w:w="120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Above the fold / in product image gallery</w:t>
            </w:r>
          </w:p>
        </w:tc>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Firework: captures user in first 5 seconds</w:t>
            </w:r>
          </w:p>
        </w:tc>
        <w:tc>
          <w:tcPr>
            <w:tcW w:type="dxa" w:w="31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Stops bounce before cognitive friction sets in. Avg bounce rate 40–60% in first 5 sec.</w:t>
            </w:r>
          </w:p>
        </w:tc>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w:t>
            </w:r>
          </w:p>
        </w:tc>
      </w:tr>
      <w:tr>
        <w:tc>
          <w:tcPr>
            <w:tcW w:type="dxa" w:w="22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Below Add-to-Cart button (carousel)</w:t>
            </w:r>
          </w:p>
        </w:tc>
        <w:tc>
          <w:tcPr>
            <w:tcW w:type="dxa" w:w="24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Skullcandy: $120K revenue in &lt;30 days</w:t>
            </w:r>
          </w:p>
        </w:tc>
        <w:tc>
          <w:tcPr>
            <w:tcW w:type="dxa" w:w="316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User has signalled intent (reached ATC). Video reinforces the decision at peak intent moment.</w:t>
            </w:r>
          </w:p>
        </w:tc>
        <w:tc>
          <w:tcPr>
            <w:tcW w:type="dxa" w:w="12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w:t>
            </w:r>
          </w:p>
        </w:tc>
      </w:tr>
      <w:tr>
        <w:tc>
          <w:tcPr>
            <w:tcW w:type="dxa" w:w="2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In product image swap / gallery slot</w:t>
            </w:r>
          </w:p>
        </w:tc>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Ava Estell: 21% CVR peak</w:t>
            </w:r>
          </w:p>
        </w:tc>
        <w:tc>
          <w:tcPr>
            <w:tcW w:type="dxa" w:w="31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Mirrors how users naturally browse product images. Zero extra scroll required.</w:t>
            </w:r>
          </w:p>
        </w:tc>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w:t>
            </w:r>
          </w:p>
        </w:tc>
      </w:tr>
      <w:tr>
        <w:tc>
          <w:tcPr>
            <w:tcW w:type="dxa" w:w="22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Sticky or pinned video panel (desktop)</w:t>
            </w:r>
          </w:p>
        </w:tc>
        <w:tc>
          <w:tcPr>
            <w:tcW w:type="dxa" w:w="24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General CRO data: 80% longer sessions</w:t>
            </w:r>
          </w:p>
        </w:tc>
        <w:tc>
          <w:tcPr>
            <w:tcW w:type="dxa" w:w="316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Keeps video visible during scroll. Increases completion rate significantly.</w:t>
            </w:r>
          </w:p>
        </w:tc>
        <w:tc>
          <w:tcPr>
            <w:tcW w:type="dxa" w:w="12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w:t>
            </w:r>
          </w:p>
        </w:tc>
      </w:tr>
      <w:tr>
        <w:tc>
          <w:tcPr>
            <w:tcW w:type="dxa" w:w="2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Below product description</w:t>
            </w:r>
          </w:p>
        </w:tc>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Standard PDP placement</w:t>
            </w:r>
          </w:p>
        </w:tc>
        <w:tc>
          <w:tcPr>
            <w:tcW w:type="dxa" w:w="31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Low friction to implement. Lower interaction rate than above-fold. Use as secondary.</w:t>
            </w:r>
          </w:p>
        </w:tc>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w:t>
            </w:r>
          </w:p>
        </w:tc>
      </w:tr>
      <w:tr>
        <w:tc>
          <w:tcPr>
            <w:tcW w:type="dxa" w:w="22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Separate video tab</w:t>
            </w:r>
          </w:p>
        </w:tc>
        <w:tc>
          <w:tcPr>
            <w:tcW w:type="dxa" w:w="24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Legacy placement</w:t>
            </w:r>
          </w:p>
        </w:tc>
        <w:tc>
          <w:tcPr>
            <w:tcW w:type="dxa" w:w="316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Requires user to actively navigate. Lowest interaction rate. Not recommended.</w:t>
            </w:r>
          </w:p>
        </w:tc>
        <w:tc>
          <w:tcPr>
            <w:tcW w:type="dxa" w:w="12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none" w:color="FFFFFF" w:sz="0"/>
              <w:bottom w:val="none" w:color="FFFFFF" w:sz="0"/>
              <w:right w:val="none" w:color="FFFFFF" w:sz="0"/>
            </w:tcBorders>
            <w:shd w:fill="E6F5EE" w:val="clear"/>
            <w:tcMar>
              <w:top w:type="dxa" w:w="140"/>
              <w:left w:type="dxa" w:w="200"/>
              <w:bottom w:type="dxa" w:w="140"/>
              <w:right w:type="dxa" w:w="200"/>
            </w:tcMar>
          </w:tcPr>
          <w:p>
            <w:pPr>
              <w:spacing w:before="0" w:after="60"/>
            </w:pPr>
            <w:r>
              <w:rPr>
                <w:rFonts w:ascii="Arial" w:cs="Arial" w:eastAsia="Arial" w:hAnsi="Arial"/>
                <w:b/>
                <w:bCs/>
                <w:color w:val="1A7A4A"/>
                <w:sz w:val="22"/>
                <w:szCs w:val="22"/>
              </w:rPr>
              <w:t xml:space="preserve">★ The single highest-impact placement recommendation</w:t>
            </w:r>
          </w:p>
          <w:p>
            <w:pPr>
              <w:spacing w:before="0" w:after="0"/>
            </w:pPr>
            <w:r>
              <w:rPr>
                <w:rFonts w:ascii="Arial" w:cs="Arial" w:eastAsia="Arial" w:hAnsi="Arial"/>
                <w:color w:val="1A2B3C"/>
                <w:sz w:val="21"/>
                <w:szCs w:val="21"/>
              </w:rPr>
              <w:t xml:space="preserve">Place the first influencer/creator video inside the product image carousel (as the first or second media asset), AND add a UGC video carousel immediately below the Add-to-Cart button. These two placements together capture the user at the beginning of their product evaluation AND at the peak moment of purchase intent. The PowerReviews data shows that carousel navigation alone (clicking 'Next') drives a 106.3% conversion lift — meaning the format itself invites the behavior that drives the conversion.</w:t>
            </w:r>
          </w:p>
        </w:tc>
      </w:tr>
    </w:tbl>
    <w:p>
      <w:pPr>
        <w:spacing w:before="160" w:after="0"/>
      </w:pPr>
      <w:r>
        <w:t xml:space="preserve"/>
      </w:r>
    </w:p>
    <w:p>
      <w:pPr>
        <w:pStyle w:val="Heading2"/>
        <w:pBdr>
          <w:bottom w:val="single" w:color="C5DCF0" w:sz="4" w:space="4"/>
        </w:pBdr>
        <w:spacing w:before="280" w:after="120"/>
      </w:pPr>
      <w:r>
        <w:rPr>
          <w:rFonts w:ascii="Arial" w:cs="Arial" w:eastAsia="Arial" w:hAnsi="Arial"/>
          <w:b/>
          <w:bCs/>
          <w:color w:val="2D6A9B"/>
          <w:sz w:val="26"/>
          <w:szCs w:val="26"/>
        </w:rPr>
        <w:t xml:space="preserve">The Interaction Effect — Why Engagement Level Changes Everything</w:t>
      </w:r>
    </w:p>
    <w:p>
      <w:pPr>
        <w:spacing w:before="60" w:after="100"/>
      </w:pPr>
      <w:r>
        <w:rPr>
          <w:rFonts w:ascii="Arial" w:cs="Arial" w:eastAsia="Arial" w:hAnsi="Arial"/>
          <w:color w:val="1A2B3C"/>
          <w:sz w:val="22"/>
          <w:szCs w:val="22"/>
        </w:rPr>
        <w:t xml:space="preserve">The PowerReviews study across 1.5M product pages is the most important finding for placement strategy. It reveals a non-linear relationship between engagement depth and conversion: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D0DCE8" w:sz="1"/>
              <w:left w:val="single" w:color="D0DCE8" w:sz="1"/>
              <w:bottom w:val="single" w:color="D0DCE8" w:sz="1"/>
              <w:right w:val="single" w:color="D0DCE8" w:sz="1"/>
            </w:tcBorders>
            <w:shd w:fill="1A2B3C" w:val="clear"/>
            <w:tcMar>
              <w:top w:type="dxa" w:w="80"/>
              <w:left w:type="dxa" w:w="120"/>
              <w:bottom w:type="dxa" w:w="80"/>
              <w:right w:type="dxa" w:w="120"/>
            </w:tcMar>
          </w:tcPr>
          <w:p>
            <w:r>
              <w:rPr>
                <w:rFonts w:ascii="Arial" w:cs="Arial" w:eastAsia="Arial" w:hAnsi="Arial"/>
                <w:b/>
                <w:bCs/>
                <w:color w:val="FFFFFF"/>
                <w:sz w:val="20"/>
                <w:szCs w:val="20"/>
              </w:rPr>
              <w:t xml:space="preserve">Engagement Level</w:t>
            </w:r>
          </w:p>
        </w:tc>
        <w:tc>
          <w:tcPr>
            <w:tcW w:type="dxa" w:w="2880"/>
            <w:tcBorders>
              <w:top w:val="single" w:color="D0DCE8" w:sz="1"/>
              <w:left w:val="single" w:color="D0DCE8" w:sz="1"/>
              <w:bottom w:val="single" w:color="D0DCE8" w:sz="1"/>
              <w:right w:val="single" w:color="D0DCE8" w:sz="1"/>
            </w:tcBorders>
            <w:shd w:fill="1A2B3C" w:val="clear"/>
            <w:tcMar>
              <w:top w:type="dxa" w:w="80"/>
              <w:left w:type="dxa" w:w="120"/>
              <w:bottom w:type="dxa" w:w="80"/>
              <w:right w:type="dxa" w:w="120"/>
            </w:tcMar>
          </w:tcPr>
          <w:p>
            <w:r>
              <w:rPr>
                <w:rFonts w:ascii="Arial" w:cs="Arial" w:eastAsia="Arial" w:hAnsi="Arial"/>
                <w:b/>
                <w:bCs/>
                <w:color w:val="FFFFFF"/>
                <w:sz w:val="20"/>
                <w:szCs w:val="20"/>
              </w:rPr>
              <w:t xml:space="preserve">Conversion Lift</w:t>
            </w:r>
          </w:p>
        </w:tc>
        <w:tc>
          <w:tcPr>
            <w:tcW w:type="dxa" w:w="2880"/>
            <w:tcBorders>
              <w:top w:val="single" w:color="D0DCE8" w:sz="1"/>
              <w:left w:val="single" w:color="D0DCE8" w:sz="1"/>
              <w:bottom w:val="single" w:color="D0DCE8" w:sz="1"/>
              <w:right w:val="single" w:color="D0DCE8" w:sz="1"/>
            </w:tcBorders>
            <w:shd w:fill="1A2B3C" w:val="clear"/>
            <w:tcMar>
              <w:top w:type="dxa" w:w="80"/>
              <w:left w:type="dxa" w:w="120"/>
              <w:bottom w:type="dxa" w:w="80"/>
              <w:right w:type="dxa" w:w="120"/>
            </w:tcMar>
          </w:tcPr>
          <w:p>
            <w:r>
              <w:rPr>
                <w:rFonts w:ascii="Arial" w:cs="Arial" w:eastAsia="Arial" w:hAnsi="Arial"/>
                <w:b/>
                <w:bCs/>
                <w:color w:val="FFFFFF"/>
                <w:sz w:val="20"/>
                <w:szCs w:val="20"/>
              </w:rPr>
              <w:t xml:space="preserve">Strategic Implication</w:t>
            </w:r>
          </w:p>
        </w:tc>
      </w:tr>
      <w:tr>
        <w:tc>
          <w:tcPr>
            <w:tcW w:type="dxa" w:w="3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Video loads on page (not clicked)</w:t>
            </w:r>
          </w:p>
        </w:tc>
        <w:tc>
          <w:tcPr>
            <w:tcW w:type="dxa" w:w="28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+3.8% to +8.5%</w:t>
            </w:r>
          </w:p>
        </w:tc>
        <w:tc>
          <w:tcPr>
            <w:tcW w:type="dxa" w:w="28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Passive presence. Worth having. Not enough alone.</w:t>
            </w:r>
          </w:p>
        </w:tc>
      </w:tr>
      <w:tr>
        <w:tc>
          <w:tcPr>
            <w:tcW w:type="dxa" w:w="36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User clicks to play video</w:t>
            </w:r>
          </w:p>
        </w:tc>
        <w:tc>
          <w:tcPr>
            <w:tcW w:type="dxa" w:w="288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bCs/>
                <w:color w:val="1A7A4A"/>
                <w:sz w:val="20"/>
                <w:szCs w:val="20"/>
              </w:rPr>
              <w:t xml:space="preserve">+103.9%</w:t>
            </w:r>
          </w:p>
        </w:tc>
        <w:tc>
          <w:tcPr>
            <w:tcW w:type="dxa" w:w="288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Exponential jump. Placement must invite the click.</w:t>
            </w:r>
          </w:p>
        </w:tc>
      </w:tr>
      <w:tr>
        <w:tc>
          <w:tcPr>
            <w:tcW w:type="dxa" w:w="3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User navigates carousel ('Next')</w:t>
            </w:r>
          </w:p>
        </w:tc>
        <w:tc>
          <w:tcPr>
            <w:tcW w:type="dxa" w:w="28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+106.3%</w:t>
            </w:r>
          </w:p>
        </w:tc>
        <w:tc>
          <w:tcPr>
            <w:tcW w:type="dxa" w:w="28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Format drives the behavior. Use swipeable carousels.</w:t>
            </w:r>
          </w:p>
        </w:tc>
      </w:tr>
      <w:tr>
        <w:tc>
          <w:tcPr>
            <w:tcW w:type="dxa" w:w="36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User expands to full screen</w:t>
            </w:r>
          </w:p>
        </w:tc>
        <w:tc>
          <w:tcPr>
            <w:tcW w:type="dxa" w:w="288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bCs/>
                <w:color w:val="1A7A4A"/>
                <w:sz w:val="20"/>
                <w:szCs w:val="20"/>
              </w:rPr>
              <w:t xml:space="preserve">+103.1%</w:t>
            </w:r>
          </w:p>
        </w:tc>
        <w:tc>
          <w:tcPr>
            <w:tcW w:type="dxa" w:w="288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High intent signal. Ensure full-screen works on mobile.</w:t>
            </w:r>
          </w:p>
        </w:tc>
      </w:tr>
      <w:tr>
        <w:tc>
          <w:tcPr>
            <w:tcW w:type="dxa" w:w="3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Video + Q&amp;A combined interaction</w:t>
            </w:r>
          </w:p>
        </w:tc>
        <w:tc>
          <w:tcPr>
            <w:tcW w:type="dxa" w:w="28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+108.6%</w:t>
            </w:r>
          </w:p>
        </w:tc>
        <w:tc>
          <w:tcPr>
            <w:tcW w:type="dxa" w:w="28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Highest lift. Stack UGC video with a FAQ component.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9B" w:val="clear"/>
            <w:tcMar>
              <w:top w:type="dxa" w:w="120"/>
              <w:left w:type="dxa" w:w="240"/>
              <w:bottom w:type="dxa" w:w="120"/>
              <w:right w:type="dxa" w:w="240"/>
            </w:tcMar>
          </w:tcPr>
          <w:p>
            <w:r>
              <w:rPr>
                <w:rFonts w:ascii="Arial" w:cs="Arial" w:eastAsia="Arial" w:hAnsi="Arial"/>
                <w:b/>
                <w:bCs/>
                <w:color w:val="FFFFFF"/>
                <w:sz w:val="24"/>
                <w:szCs w:val="24"/>
              </w:rPr>
              <w:t xml:space="preserve">BONUS UX: STICKY ADD-TO-CART — THE FRICTION REDUCER</w:t>
            </w:r>
          </w:p>
        </w:tc>
      </w:tr>
    </w:tbl>
    <w:p>
      <w:pPr>
        <w:spacing w:before="120" w:after="0"/>
      </w:pPr>
      <w:r>
        <w:t xml:space="preserve"/>
      </w:r>
    </w:p>
    <w:p>
      <w:pPr>
        <w:spacing w:before="60" w:after="100"/>
      </w:pPr>
      <w:r>
        <w:rPr>
          <w:rFonts w:ascii="Arial" w:cs="Arial" w:eastAsia="Arial" w:hAnsi="Arial"/>
          <w:color w:val="1A2B3C"/>
          <w:sz w:val="22"/>
          <w:szCs w:val="22"/>
        </w:rPr>
        <w:t xml:space="preserve">Influencer video drives trust and purchase intent. A sticky Add-to-Cart button ensures the purchase action is always accessible when that intent peaks. These two improvements target different psychological barriers — one eliminates doubt, the other eliminates friction — which is why they compound when deployed together.</w:t>
      </w:r>
    </w:p>
    <w:p>
      <w:pPr>
        <w:spacing w:before="120" w:after="0"/>
      </w:pPr>
      <w:r>
        <w:t xml:space="preserve"/>
      </w:r>
    </w:p>
    <w:p>
      <w:pPr>
        <w:pStyle w:val="Heading2"/>
        <w:pBdr>
          <w:bottom w:val="single" w:color="C5DCF0" w:sz="4" w:space="4"/>
        </w:pBdr>
        <w:spacing w:before="280" w:after="120"/>
      </w:pPr>
      <w:r>
        <w:rPr>
          <w:rFonts w:ascii="Arial" w:cs="Arial" w:eastAsia="Arial" w:hAnsi="Arial"/>
          <w:b/>
          <w:bCs/>
          <w:color w:val="2D6A9B"/>
          <w:sz w:val="26"/>
          <w:szCs w:val="26"/>
        </w:rPr>
        <w:t xml:space="preserve">Sticky Add-to-Cart: Study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Study / Source</w:t>
            </w:r>
          </w:p>
        </w:tc>
        <w:tc>
          <w:tcPr>
            <w:tcW w:type="dxa" w:w="200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396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Key Metric</w:t>
            </w:r>
          </w:p>
        </w:tc>
      </w:tr>
      <w:tr>
        <w:tc>
          <w:tcPr>
            <w:tcW w:type="dxa" w:w="3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GrowthRock — Mobile ATC test</w:t>
            </w:r>
          </w:p>
        </w:tc>
        <w:tc>
          <w:tcPr>
            <w:tcW w:type="dxa" w:w="2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A/B test</w:t>
            </w:r>
          </w:p>
        </w:tc>
        <w:tc>
          <w:tcPr>
            <w:tcW w:type="dxa" w:w="39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+11.8% ATC clicks, +5.2% orders</w:t>
            </w:r>
          </w:p>
        </w:tc>
      </w:tr>
      <w:tr>
        <w:tc>
          <w:tcPr>
            <w:tcW w:type="dxa" w:w="34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Zipify — Mobile sticky purchase</w:t>
            </w:r>
          </w:p>
        </w:tc>
        <w:tc>
          <w:tcPr>
            <w:tcW w:type="dxa" w:w="20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A/B split test</w:t>
            </w:r>
          </w:p>
        </w:tc>
        <w:tc>
          <w:tcPr>
            <w:tcW w:type="dxa" w:w="396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+10% ATC clicks, +9% order conversion</w:t>
            </w:r>
          </w:p>
        </w:tc>
      </w:tr>
      <w:tr>
        <w:tc>
          <w:tcPr>
            <w:tcW w:type="dxa" w:w="3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Traction Marketing CRO experiment</w:t>
            </w:r>
          </w:p>
        </w:tc>
        <w:tc>
          <w:tcPr>
            <w:tcW w:type="dxa" w:w="2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Controlled test</w:t>
            </w:r>
          </w:p>
        </w:tc>
        <w:tc>
          <w:tcPr>
            <w:tcW w:type="dxa" w:w="39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+2.74% conversion rate</w:t>
            </w:r>
          </w:p>
        </w:tc>
      </w:tr>
      <w:tr>
        <w:tc>
          <w:tcPr>
            <w:tcW w:type="dxa" w:w="34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Conversion Rate Experts research</w:t>
            </w:r>
          </w:p>
        </w:tc>
        <w:tc>
          <w:tcPr>
            <w:tcW w:type="dxa" w:w="20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Aggregated CRO data</w:t>
            </w:r>
          </w:p>
        </w:tc>
        <w:tc>
          <w:tcPr>
            <w:tcW w:type="dxa" w:w="396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+8% to +25% on long pages</w:t>
            </w:r>
          </w:p>
        </w:tc>
      </w:tr>
    </w:tbl>
    <w:p>
      <w:pPr>
        <w:spacing w:before="120" w:after="0"/>
      </w:pPr>
      <w:r>
        <w:t xml:space="preserve"/>
      </w:r>
    </w:p>
    <w:p>
      <w:pPr>
        <w:pStyle w:val="Heading2"/>
        <w:pBdr>
          <w:bottom w:val="single" w:color="C5DCF0" w:sz="4" w:space="4"/>
        </w:pBdr>
        <w:spacing w:before="280" w:after="120"/>
      </w:pPr>
      <w:r>
        <w:rPr>
          <w:rFonts w:ascii="Arial" w:cs="Arial" w:eastAsia="Arial" w:hAnsi="Arial"/>
          <w:b/>
          <w:bCs/>
          <w:color w:val="2D6A9B"/>
          <w:sz w:val="26"/>
          <w:szCs w:val="26"/>
        </w:rPr>
        <w:t xml:space="preserve">Why Sticky ATC + Influencer Video = Compounding Effect</w:t>
      </w:r>
    </w:p>
    <w:p>
      <w:pPr>
        <w:spacing w:before="60" w:after="100"/>
      </w:pPr>
      <w:r>
        <w:rPr>
          <w:rFonts w:ascii="Arial" w:cs="Arial" w:eastAsia="Arial" w:hAnsi="Arial"/>
          <w:color w:val="1A2B3C"/>
          <w:sz w:val="22"/>
          <w:szCs w:val="22"/>
        </w:rPr>
        <w:t xml:space="preserve">Each improvement targets a different failure point in the mobile purchase journey: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CE8" w:sz="1"/>
              <w:left w:val="single" w:color="D0DCE8" w:sz="1"/>
              <w:bottom w:val="single" w:color="D0DCE8" w:sz="1"/>
              <w:right w:val="single" w:color="D0DCE8" w:sz="1"/>
            </w:tcBorders>
            <w:shd w:fill="2D6A9B" w:val="clear"/>
            <w:tcMar>
              <w:top w:type="dxa" w:w="120"/>
              <w:left w:type="dxa" w:w="180"/>
              <w:bottom w:type="dxa" w:w="120"/>
              <w:right w:type="dxa" w:w="180"/>
            </w:tcMar>
          </w:tcPr>
          <w:p>
            <w:pPr>
              <w:spacing w:before="0" w:after="60"/>
              <w:jc w:val="center"/>
            </w:pPr>
            <w:r>
              <w:rPr>
                <w:rFonts w:ascii="Arial" w:cs="Arial" w:eastAsia="Arial" w:hAnsi="Arial"/>
                <w:b/>
                <w:bCs/>
                <w:color w:val="FFFFFF"/>
                <w:sz w:val="24"/>
                <w:szCs w:val="24"/>
              </w:rPr>
              <w:t xml:space="preserve">Influencer Video</w:t>
            </w:r>
          </w:p>
          <w:p>
            <w:pPr>
              <w:spacing w:before="0" w:after="40"/>
              <w:jc w:val="center"/>
            </w:pPr>
            <w:r>
              <w:rPr>
                <w:rFonts w:ascii="Arial" w:cs="Arial" w:eastAsia="Arial" w:hAnsi="Arial"/>
                <w:b/>
                <w:bCs/>
                <w:color w:val="C5DCF0"/>
                <w:sz w:val="18"/>
                <w:szCs w:val="18"/>
              </w:rPr>
              <w:t xml:space="preserve">TRUST DRIVER</w:t>
            </w:r>
          </w:p>
          <w:p>
            <w:pPr>
              <w:spacing w:before="0" w:after="0"/>
              <w:jc w:val="center"/>
            </w:pPr>
            <w:r>
              <w:rPr>
                <w:rFonts w:ascii="Arial" w:cs="Arial" w:eastAsia="Arial" w:hAnsi="Arial"/>
                <w:color w:val="FFFFFF"/>
                <w:sz w:val="20"/>
                <w:szCs w:val="20"/>
              </w:rPr>
              <w:t xml:space="preserve">Eliminates doubt, builds purchase confidence through authentic peer demonstration</w:t>
            </w:r>
          </w:p>
        </w:tc>
        <w:tc>
          <w:tcPr>
            <w:tcW w:type="dxa" w:w="4680"/>
            <w:tcBorders>
              <w:top w:val="single" w:color="D0DCE8" w:sz="1"/>
              <w:left w:val="single" w:color="D0DCE8" w:sz="1"/>
              <w:bottom w:val="single" w:color="D0DCE8" w:sz="1"/>
              <w:right w:val="single" w:color="D0DCE8" w:sz="1"/>
            </w:tcBorders>
            <w:shd w:fill="1A7A4A" w:val="clear"/>
            <w:tcMar>
              <w:top w:type="dxa" w:w="120"/>
              <w:left w:type="dxa" w:w="180"/>
              <w:bottom w:type="dxa" w:w="120"/>
              <w:right w:type="dxa" w:w="180"/>
            </w:tcMar>
          </w:tcPr>
          <w:p>
            <w:pPr>
              <w:spacing w:before="0" w:after="60"/>
              <w:jc w:val="center"/>
            </w:pPr>
            <w:r>
              <w:rPr>
                <w:rFonts w:ascii="Arial" w:cs="Arial" w:eastAsia="Arial" w:hAnsi="Arial"/>
                <w:b/>
                <w:bCs/>
                <w:color w:val="FFFFFF"/>
                <w:sz w:val="24"/>
                <w:szCs w:val="24"/>
              </w:rPr>
              <w:t xml:space="preserve">Sticky Add-to-Cart</w:t>
            </w:r>
          </w:p>
          <w:p>
            <w:pPr>
              <w:spacing w:before="0" w:after="40"/>
              <w:jc w:val="center"/>
            </w:pPr>
            <w:r>
              <w:rPr>
                <w:rFonts w:ascii="Arial" w:cs="Arial" w:eastAsia="Arial" w:hAnsi="Arial"/>
                <w:b/>
                <w:bCs/>
                <w:color w:val="A8D5BC"/>
                <w:sz w:val="18"/>
                <w:szCs w:val="18"/>
              </w:rPr>
              <w:t xml:space="preserve">FRICTION REDUCER</w:t>
            </w:r>
          </w:p>
          <w:p>
            <w:pPr>
              <w:spacing w:before="0" w:after="0"/>
              <w:jc w:val="center"/>
            </w:pPr>
            <w:r>
              <w:rPr>
                <w:rFonts w:ascii="Arial" w:cs="Arial" w:eastAsia="Arial" w:hAnsi="Arial"/>
                <w:color w:val="FFFFFF"/>
                <w:sz w:val="20"/>
                <w:szCs w:val="20"/>
              </w:rPr>
              <w:t xml:space="preserve">Ensures purchase action is always one tap away, especially on long mobile product pages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none" w:color="FFFFFF" w:sz="0"/>
              <w:bottom w:val="none" w:color="FFFFFF" w:sz="0"/>
              <w:right w:val="none" w:color="FFFFFF" w:sz="0"/>
            </w:tcBorders>
            <w:shd w:fill="E6F5EE" w:val="clear"/>
            <w:tcMar>
              <w:top w:type="dxa" w:w="140"/>
              <w:left w:type="dxa" w:w="200"/>
              <w:bottom w:type="dxa" w:w="140"/>
              <w:right w:type="dxa" w:w="200"/>
            </w:tcMar>
          </w:tcPr>
          <w:p>
            <w:pPr>
              <w:spacing w:before="0" w:after="60"/>
            </w:pPr>
            <w:r>
              <w:rPr>
                <w:rFonts w:ascii="Arial" w:cs="Arial" w:eastAsia="Arial" w:hAnsi="Arial"/>
                <w:b/>
                <w:bCs/>
                <w:color w:val="1A7A4A"/>
                <w:sz w:val="22"/>
                <w:szCs w:val="22"/>
              </w:rPr>
              <w:t xml:space="preserve">Combined implementation: low-cost, high-confidence, fast to deploy</w:t>
            </w:r>
          </w:p>
          <w:p>
            <w:pPr>
              <w:spacing w:before="0" w:after="0"/>
            </w:pPr>
            <w:r>
              <w:rPr>
                <w:rFonts w:ascii="Arial" w:cs="Arial" w:eastAsia="Arial" w:hAnsi="Arial"/>
                <w:color w:val="1A2B3C"/>
                <w:sz w:val="21"/>
                <w:szCs w:val="21"/>
              </w:rPr>
              <w:t xml:space="preserve">Both improvements require zero new content creation — the influencer video already exists across Just Ingredients' social channels, and a sticky ATC is a CSS/UX configuration change on most Shopify themes. Combined estimated implementation time: 1–2 sprints. The studies above suggest a combined conversion lift of 15–30%+ is achievable, with the influencer video driving the larger share of that uplift.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9B" w:val="clear"/>
            <w:tcMar>
              <w:top w:type="dxa" w:w="120"/>
              <w:left w:type="dxa" w:w="240"/>
              <w:bottom w:type="dxa" w:w="120"/>
              <w:right w:type="dxa" w:w="240"/>
            </w:tcMar>
          </w:tcPr>
          <w:p>
            <w:r>
              <w:rPr>
                <w:rFonts w:ascii="Arial" w:cs="Arial" w:eastAsia="Arial" w:hAnsi="Arial"/>
                <w:b/>
                <w:bCs/>
                <w:color w:val="FFFFFF"/>
                <w:sz w:val="24"/>
                <w:szCs w:val="24"/>
              </w:rPr>
              <w:t xml:space="preserve">PART 5: MASTER EVIDENCE TABLE — ALL STUDIES AT A GLANCE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800"/>
        <w:gridCol w:w="1600"/>
        <w:gridCol w:w="1760"/>
        <w:gridCol w:w="1700"/>
      </w:tblGrid>
      <w:tr>
        <w:trPr>
          <w:tblHeader/>
        </w:trPr>
        <w:tc>
          <w:tcPr>
            <w:tcW w:type="dxa" w:w="190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Brand / Study</w:t>
            </w:r>
          </w:p>
        </w:tc>
        <w:tc>
          <w:tcPr>
            <w:tcW w:type="dxa" w:w="160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80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Video Type</w:t>
            </w:r>
          </w:p>
        </w:tc>
        <w:tc>
          <w:tcPr>
            <w:tcW w:type="dxa" w:w="160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Vertical</w:t>
            </w:r>
          </w:p>
        </w:tc>
        <w:tc>
          <w:tcPr>
            <w:tcW w:type="dxa" w:w="176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Key Metric</w:t>
            </w:r>
          </w:p>
        </w:tc>
        <w:tc>
          <w:tcPr>
            <w:tcW w:type="dxa" w:w="1700"/>
            <w:tcBorders>
              <w:top w:val="single" w:color="D0DCE8" w:sz="1"/>
              <w:left w:val="single" w:color="D0DCE8" w:sz="1"/>
              <w:bottom w:val="single" w:color="D0DCE8" w:sz="1"/>
              <w:right w:val="single" w:color="D0DCE8" w:sz="1"/>
            </w:tcBorders>
            <w:shd w:fill="2D6A9B" w:val="clear"/>
            <w:tcMar>
              <w:top w:type="dxa" w:w="80"/>
              <w:left w:type="dxa" w:w="120"/>
              <w:bottom w:type="dxa" w:w="80"/>
              <w:right w:type="dxa" w:w="120"/>
            </w:tcMar>
          </w:tcPr>
          <w:p>
            <w:r>
              <w:rPr>
                <w:rFonts w:ascii="Arial" w:cs="Arial" w:eastAsia="Arial" w:hAnsi="Arial"/>
                <w:b/>
                <w:bCs/>
                <w:color w:val="FFFFFF"/>
                <w:sz w:val="20"/>
                <w:szCs w:val="20"/>
              </w:rPr>
              <w:t xml:space="preserve">Credibility</w:t>
            </w:r>
          </w:p>
        </w:tc>
      </w:tr>
      <w:tr>
        <w:tc>
          <w:tcPr>
            <w:tcW w:type="dxa" w:w="19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SNEAK Energy</w:t>
            </w:r>
          </w:p>
        </w:tc>
        <w:tc>
          <w:tcPr>
            <w:tcW w:type="dxa" w:w="1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Videowise</w:t>
            </w:r>
          </w:p>
        </w:tc>
        <w:tc>
          <w:tcPr>
            <w:tcW w:type="dxa" w:w="1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Creator UGC + testimonial</w:t>
            </w:r>
          </w:p>
        </w:tc>
        <w:tc>
          <w:tcPr>
            <w:tcW w:type="dxa" w:w="1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Supplements ✓✓</w:t>
            </w:r>
          </w:p>
        </w:tc>
        <w:tc>
          <w:tcPr>
            <w:tcW w:type="dxa" w:w="1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+26% revenue (A/B)</w:t>
            </w:r>
          </w:p>
        </w:tc>
        <w:tc>
          <w:tcPr>
            <w:tcW w:type="dxa" w:w="17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A/B tested ★★★★</w:t>
            </w:r>
          </w:p>
        </w:tc>
      </w:tr>
      <w:tr>
        <w:tc>
          <w:tcPr>
            <w:tcW w:type="dxa" w:w="19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Sculpted by Aimee</w:t>
            </w:r>
          </w:p>
        </w:tc>
        <w:tc>
          <w:tcPr>
            <w:tcW w:type="dxa" w:w="16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Videowise</w:t>
            </w:r>
          </w:p>
        </w:tc>
        <w:tc>
          <w:tcPr>
            <w:tcW w:type="dxa" w:w="18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Founder + TikTok UGC</w:t>
            </w:r>
          </w:p>
        </w:tc>
        <w:tc>
          <w:tcPr>
            <w:tcW w:type="dxa" w:w="16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Beauty/ingredient ✓✓</w:t>
            </w:r>
          </w:p>
        </w:tc>
        <w:tc>
          <w:tcPr>
            <w:tcW w:type="dxa" w:w="176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8.6% avg CVR (4.8× avg)</w:t>
            </w:r>
          </w:p>
        </w:tc>
        <w:tc>
          <w:tcPr>
            <w:tcW w:type="dxa" w:w="17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30-day performance ★★★</w:t>
            </w:r>
          </w:p>
        </w:tc>
      </w:tr>
      <w:tr>
        <w:tc>
          <w:tcPr>
            <w:tcW w:type="dxa" w:w="19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Wonderskin</w:t>
            </w:r>
          </w:p>
        </w:tc>
        <w:tc>
          <w:tcPr>
            <w:tcW w:type="dxa" w:w="1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Insense</w:t>
            </w:r>
          </w:p>
        </w:tc>
        <w:tc>
          <w:tcPr>
            <w:tcW w:type="dxa" w:w="1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Pre-validated influencer</w:t>
            </w:r>
          </w:p>
        </w:tc>
        <w:tc>
          <w:tcPr>
            <w:tcW w:type="dxa" w:w="1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Skincare ✓</w:t>
            </w:r>
          </w:p>
        </w:tc>
        <w:tc>
          <w:tcPr>
            <w:tcW w:type="dxa" w:w="1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+26% CVR, $1.7M</w:t>
            </w:r>
          </w:p>
        </w:tc>
        <w:tc>
          <w:tcPr>
            <w:tcW w:type="dxa" w:w="17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Paid-to-PDP pipeline ★★★</w:t>
            </w:r>
          </w:p>
        </w:tc>
      </w:tr>
      <w:tr>
        <w:tc>
          <w:tcPr>
            <w:tcW w:type="dxa" w:w="19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Marketing Experiments</w:t>
            </w:r>
          </w:p>
        </w:tc>
        <w:tc>
          <w:tcPr>
            <w:tcW w:type="dxa" w:w="16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Independent</w:t>
            </w:r>
          </w:p>
        </w:tc>
        <w:tc>
          <w:tcPr>
            <w:tcW w:type="dxa" w:w="18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Video testimonial</w:t>
            </w:r>
          </w:p>
        </w:tc>
        <w:tc>
          <w:tcPr>
            <w:tcW w:type="dxa" w:w="16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General ecom</w:t>
            </w:r>
          </w:p>
        </w:tc>
        <w:tc>
          <w:tcPr>
            <w:tcW w:type="dxa" w:w="176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+201% CVR vs. text</w:t>
            </w:r>
          </w:p>
        </w:tc>
        <w:tc>
          <w:tcPr>
            <w:tcW w:type="dxa" w:w="17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Controlled A/B ★★★★★</w:t>
            </w:r>
          </w:p>
        </w:tc>
      </w:tr>
      <w:tr>
        <w:tc>
          <w:tcPr>
            <w:tcW w:type="dxa" w:w="19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Kate Somerville</w:t>
            </w:r>
          </w:p>
        </w:tc>
        <w:tc>
          <w:tcPr>
            <w:tcW w:type="dxa" w:w="1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Shoplift + Hue</w:t>
            </w:r>
          </w:p>
        </w:tc>
        <w:tc>
          <w:tcPr>
            <w:tcW w:type="dxa" w:w="1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Creator UGC before/after</w:t>
            </w:r>
          </w:p>
        </w:tc>
        <w:tc>
          <w:tcPr>
            <w:tcW w:type="dxa" w:w="1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Skincare ✓</w:t>
            </w:r>
          </w:p>
        </w:tc>
        <w:tc>
          <w:tcPr>
            <w:tcW w:type="dxa" w:w="1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+23.9% CVR + RPV</w:t>
            </w:r>
          </w:p>
        </w:tc>
        <w:tc>
          <w:tcPr>
            <w:tcW w:type="dxa" w:w="17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Formal A/B ★★★★</w:t>
            </w:r>
          </w:p>
        </w:tc>
      </w:tr>
      <w:tr>
        <w:tc>
          <w:tcPr>
            <w:tcW w:type="dxa" w:w="19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PowerReviews panel</w:t>
            </w:r>
          </w:p>
        </w:tc>
        <w:tc>
          <w:tcPr>
            <w:tcW w:type="dxa" w:w="16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Independent</w:t>
            </w:r>
          </w:p>
        </w:tc>
        <w:tc>
          <w:tcPr>
            <w:tcW w:type="dxa" w:w="18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Visual UGC incl. video</w:t>
            </w:r>
          </w:p>
        </w:tc>
        <w:tc>
          <w:tcPr>
            <w:tcW w:type="dxa" w:w="16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1,200+ sites</w:t>
            </w:r>
          </w:p>
        </w:tc>
        <w:tc>
          <w:tcPr>
            <w:tcW w:type="dxa" w:w="176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+103.9% (interaction)</w:t>
            </w:r>
          </w:p>
        </w:tc>
        <w:tc>
          <w:tcPr>
            <w:tcW w:type="dxa" w:w="17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1.5M pages ★★★★★</w:t>
            </w:r>
          </w:p>
        </w:tc>
      </w:tr>
      <w:tr>
        <w:tc>
          <w:tcPr>
            <w:tcW w:type="dxa" w:w="19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Forrester / Bazaarvoice</w:t>
            </w:r>
          </w:p>
        </w:tc>
        <w:tc>
          <w:tcPr>
            <w:tcW w:type="dxa" w:w="1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Forrester (independent)</w:t>
            </w:r>
          </w:p>
        </w:tc>
        <w:tc>
          <w:tcPr>
            <w:tcW w:type="dxa" w:w="1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Visual + social content</w:t>
            </w:r>
          </w:p>
        </w:tc>
        <w:tc>
          <w:tcPr>
            <w:tcW w:type="dxa" w:w="1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9 brands audited</w:t>
            </w:r>
          </w:p>
        </w:tc>
        <w:tc>
          <w:tcPr>
            <w:tcW w:type="dxa" w:w="1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+200% CVR</w:t>
            </w:r>
          </w:p>
        </w:tc>
        <w:tc>
          <w:tcPr>
            <w:tcW w:type="dxa" w:w="17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3rd-party audit ★★★★★</w:t>
            </w:r>
          </w:p>
        </w:tc>
      </w:tr>
      <w:tr>
        <w:tc>
          <w:tcPr>
            <w:tcW w:type="dxa" w:w="19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Bazaarvoice category data</w:t>
            </w:r>
          </w:p>
        </w:tc>
        <w:tc>
          <w:tcPr>
            <w:tcW w:type="dxa" w:w="16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Bazaarvoice</w:t>
            </w:r>
          </w:p>
        </w:tc>
        <w:tc>
          <w:tcPr>
            <w:tcW w:type="dxa" w:w="18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UGC engagement</w:t>
            </w:r>
          </w:p>
        </w:tc>
        <w:tc>
          <w:tcPr>
            <w:tcW w:type="dxa" w:w="16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Food &amp; Nutrition ✓✓</w:t>
            </w:r>
          </w:p>
        </w:tc>
        <w:tc>
          <w:tcPr>
            <w:tcW w:type="dxa" w:w="176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9.19% CVR (vs 3.28% avg)</w:t>
            </w:r>
          </w:p>
        </w:tc>
        <w:tc>
          <w:tcPr>
            <w:tcW w:type="dxa" w:w="17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Large-scale data ★★★★</w:t>
            </w:r>
          </w:p>
        </w:tc>
      </w:tr>
      <w:tr>
        <w:tc>
          <w:tcPr>
            <w:tcW w:type="dxa" w:w="19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Iconic London</w:t>
            </w:r>
          </w:p>
        </w:tc>
        <w:tc>
          <w:tcPr>
            <w:tcW w:type="dxa" w:w="1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Bazaarvoice</w:t>
            </w:r>
          </w:p>
        </w:tc>
        <w:tc>
          <w:tcPr>
            <w:tcW w:type="dxa" w:w="1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Influencer + customer UGC</w:t>
            </w:r>
          </w:p>
        </w:tc>
        <w:tc>
          <w:tcPr>
            <w:tcW w:type="dxa" w:w="1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Beauty ✓</w:t>
            </w:r>
          </w:p>
        </w:tc>
        <w:tc>
          <w:tcPr>
            <w:tcW w:type="dxa" w:w="1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+126% CVR, +11% AOV</w:t>
            </w:r>
          </w:p>
        </w:tc>
        <w:tc>
          <w:tcPr>
            <w:tcW w:type="dxa" w:w="17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Platform case study ★★★</w:t>
            </w:r>
          </w:p>
        </w:tc>
      </w:tr>
      <w:tr>
        <w:tc>
          <w:tcPr>
            <w:tcW w:type="dxa" w:w="19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XXL Nutrition</w:t>
            </w:r>
          </w:p>
        </w:tc>
        <w:tc>
          <w:tcPr>
            <w:tcW w:type="dxa" w:w="16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Flowbox</w:t>
            </w:r>
          </w:p>
        </w:tc>
        <w:tc>
          <w:tcPr>
            <w:tcW w:type="dxa" w:w="18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Customer UGC</w:t>
            </w:r>
          </w:p>
        </w:tc>
        <w:tc>
          <w:tcPr>
            <w:tcW w:type="dxa" w:w="16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Nutrition ✓✓</w:t>
            </w:r>
          </w:p>
        </w:tc>
        <w:tc>
          <w:tcPr>
            <w:tcW w:type="dxa" w:w="176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+88% AOV, +113% size value</w:t>
            </w:r>
          </w:p>
        </w:tc>
        <w:tc>
          <w:tcPr>
            <w:tcW w:type="dxa" w:w="17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Platform case study ★★★</w:t>
            </w:r>
          </w:p>
        </w:tc>
      </w:tr>
      <w:tr>
        <w:tc>
          <w:tcPr>
            <w:tcW w:type="dxa" w:w="19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Bulk.com</w:t>
            </w:r>
          </w:p>
        </w:tc>
        <w:tc>
          <w:tcPr>
            <w:tcW w:type="dxa" w:w="1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Yotpo</w:t>
            </w:r>
          </w:p>
        </w:tc>
        <w:tc>
          <w:tcPr>
            <w:tcW w:type="dxa" w:w="1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Customer UGC video</w:t>
            </w:r>
          </w:p>
        </w:tc>
        <w:tc>
          <w:tcPr>
            <w:tcW w:type="dxa" w:w="1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Supplements ✓✓</w:t>
            </w:r>
          </w:p>
        </w:tc>
        <w:tc>
          <w:tcPr>
            <w:tcW w:type="dxa" w:w="1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+30% YoY, +150% time on site</w:t>
            </w:r>
          </w:p>
        </w:tc>
        <w:tc>
          <w:tcPr>
            <w:tcW w:type="dxa" w:w="17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Platform case study ★★★</w:t>
            </w:r>
          </w:p>
        </w:tc>
      </w:tr>
      <w:tr>
        <w:tc>
          <w:tcPr>
            <w:tcW w:type="dxa" w:w="19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Bangerhead</w:t>
            </w:r>
          </w:p>
        </w:tc>
        <w:tc>
          <w:tcPr>
            <w:tcW w:type="dxa" w:w="16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Bambuser</w:t>
            </w:r>
          </w:p>
        </w:tc>
        <w:tc>
          <w:tcPr>
            <w:tcW w:type="dxa" w:w="18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Live 1:1 video consult</w:t>
            </w:r>
          </w:p>
        </w:tc>
        <w:tc>
          <w:tcPr>
            <w:tcW w:type="dxa" w:w="16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Beauty ✓</w:t>
            </w:r>
          </w:p>
        </w:tc>
        <w:tc>
          <w:tcPr>
            <w:tcW w:type="dxa" w:w="176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69% CVR (live sessions)</w:t>
            </w:r>
          </w:p>
        </w:tc>
        <w:tc>
          <w:tcPr>
            <w:tcW w:type="dxa" w:w="17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Platform case study ★★★</w:t>
            </w:r>
          </w:p>
        </w:tc>
      </w:tr>
      <w:tr>
        <w:tc>
          <w:tcPr>
            <w:tcW w:type="dxa" w:w="19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Pai Skincare</w:t>
            </w:r>
          </w:p>
        </w:tc>
        <w:tc>
          <w:tcPr>
            <w:tcW w:type="dxa" w:w="1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Bambuser</w:t>
            </w:r>
          </w:p>
        </w:tc>
        <w:tc>
          <w:tcPr>
            <w:tcW w:type="dxa" w:w="1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Live creator shopping</w:t>
            </w:r>
          </w:p>
        </w:tc>
        <w:tc>
          <w:tcPr>
            <w:tcW w:type="dxa" w:w="1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Skincare ✓</w:t>
            </w:r>
          </w:p>
        </w:tc>
        <w:tc>
          <w:tcPr>
            <w:tcW w:type="dxa" w:w="1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17% CVR; 10% annual revenue</w:t>
            </w:r>
          </w:p>
        </w:tc>
        <w:tc>
          <w:tcPr>
            <w:tcW w:type="dxa" w:w="17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Platform case study ★★★</w:t>
            </w:r>
          </w:p>
        </w:tc>
      </w:tr>
      <w:tr>
        <w:tc>
          <w:tcPr>
            <w:tcW w:type="dxa" w:w="19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GrowthRock (sticky ATC)</w:t>
            </w:r>
          </w:p>
        </w:tc>
        <w:tc>
          <w:tcPr>
            <w:tcW w:type="dxa" w:w="16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Independent</w:t>
            </w:r>
          </w:p>
        </w:tc>
        <w:tc>
          <w:tcPr>
            <w:tcW w:type="dxa" w:w="18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N/A — UX test</w:t>
            </w:r>
          </w:p>
        </w:tc>
        <w:tc>
          <w:tcPr>
            <w:tcW w:type="dxa" w:w="16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Mobile ecom</w:t>
            </w:r>
          </w:p>
        </w:tc>
        <w:tc>
          <w:tcPr>
            <w:tcW w:type="dxa" w:w="176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+11.8% ATC, +5.2% orders</w:t>
            </w:r>
          </w:p>
        </w:tc>
        <w:tc>
          <w:tcPr>
            <w:tcW w:type="dxa" w:w="1700"/>
            <w:tcBorders>
              <w:top w:val="single" w:color="D0DCE8" w:sz="1"/>
              <w:left w:val="single" w:color="D0DCE8" w:sz="1"/>
              <w:bottom w:val="single" w:color="D0DCE8" w:sz="1"/>
              <w:right w:val="single" w:color="D0DCE8" w:sz="1"/>
            </w:tcBorders>
            <w:shd w:fill="F4F7FA" w:val="clear"/>
            <w:tcMar>
              <w:top w:type="dxa" w:w="80"/>
              <w:left w:type="dxa" w:w="120"/>
              <w:bottom w:type="dxa" w:w="80"/>
              <w:right w:type="dxa" w:w="120"/>
            </w:tcMar>
          </w:tcPr>
          <w:p>
            <w:r>
              <w:rPr>
                <w:rFonts w:ascii="Arial" w:cs="Arial" w:eastAsia="Arial" w:hAnsi="Arial"/>
                <w:b w:val="false"/>
                <w:bCs w:val="false"/>
                <w:color w:val="1A2B3C"/>
                <w:sz w:val="20"/>
                <w:szCs w:val="20"/>
              </w:rPr>
              <w:t xml:space="preserve">Controlled A/B ★★★★</w:t>
            </w:r>
          </w:p>
        </w:tc>
      </w:tr>
      <w:tr>
        <w:tc>
          <w:tcPr>
            <w:tcW w:type="dxa" w:w="19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Skullcandy</w:t>
            </w:r>
          </w:p>
        </w:tc>
        <w:tc>
          <w:tcPr>
            <w:tcW w:type="dxa" w:w="1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Videowise</w:t>
            </w:r>
          </w:p>
        </w:tc>
        <w:tc>
          <w:tcPr>
            <w:tcW w:type="dxa" w:w="1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UGC carousel placement</w:t>
            </w:r>
          </w:p>
        </w:tc>
        <w:tc>
          <w:tcPr>
            <w:tcW w:type="dxa" w:w="1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Consumer products</w:t>
            </w:r>
          </w:p>
        </w:tc>
        <w:tc>
          <w:tcPr>
            <w:tcW w:type="dxa" w:w="1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$120K in &lt;30 days</w:t>
            </w:r>
          </w:p>
        </w:tc>
        <w:tc>
          <w:tcPr>
            <w:tcW w:type="dxa" w:w="17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Placement A/B ★★★</w:t>
            </w:r>
          </w:p>
        </w:tc>
      </w:tr>
    </w:tbl>
    <w:p>
      <w:pPr>
        <w:spacing w:before="160" w:after="0"/>
      </w:pPr>
      <w:r>
        <w:t xml:space="preserve"/>
      </w:r>
    </w:p>
    <w:p>
      <w:pPr>
        <w:pStyle w:val="Heading2"/>
        <w:pBdr>
          <w:bottom w:val="single" w:color="C5DCF0" w:sz="4" w:space="4"/>
        </w:pBdr>
        <w:spacing w:before="280" w:after="120"/>
      </w:pPr>
      <w:r>
        <w:rPr>
          <w:rFonts w:ascii="Arial" w:cs="Arial" w:eastAsia="Arial" w:hAnsi="Arial"/>
          <w:b/>
          <w:bCs/>
          <w:color w:val="2D6A9B"/>
          <w:sz w:val="26"/>
          <w:szCs w:val="26"/>
        </w:rPr>
        <w:t xml:space="preserve">Summary: The Convergence Argument</w:t>
      </w:r>
    </w:p>
    <w:p>
      <w:pPr>
        <w:spacing w:before="60" w:after="100"/>
      </w:pPr>
      <w:r>
        <w:rPr>
          <w:rFonts w:ascii="Arial" w:cs="Arial" w:eastAsia="Arial" w:hAnsi="Arial"/>
          <w:color w:val="1A2B3C"/>
          <w:sz w:val="22"/>
          <w:szCs w:val="22"/>
        </w:rPr>
        <w:t xml:space="preserve">The most powerful element of this evidence stack is not any single study — it is the convergence across methodologies, platforms, and verticals. Every controlled test, every large-scale panel, and every brand-specific case study points in the same direction:</w:t>
      </w:r>
    </w:p>
    <w:p>
      <w:pPr>
        <w:spacing w:before="80" w:after="0"/>
      </w:pPr>
      <w:r>
        <w:t xml:space="preserve"/>
      </w:r>
    </w:p>
    <w:p>
      <w:pPr>
        <w:pStyle w:val="ListParagraph"/>
        <w:numPr>
          <w:ilvl w:val="0"/>
          <w:numId w:val="2"/>
        </w:numPr>
        <w:spacing w:before="40" w:after="40"/>
      </w:pPr>
      <w:r>
        <w:rPr>
          <w:rFonts w:ascii="Arial" w:cs="Arial" w:eastAsia="Arial" w:hAnsi="Arial"/>
          <w:b w:val="false"/>
          <w:bCs w:val="false"/>
          <w:color w:val="1A2B3C"/>
          <w:sz w:val="22"/>
          <w:szCs w:val="22"/>
        </w:rPr>
        <w:t xml:space="preserve">Controlled A/B tests (Marketing Experiments, Kate Somerville, SNEAK): +20–201% CVR lift</w:t>
      </w:r>
    </w:p>
    <w:p>
      <w:pPr>
        <w:pStyle w:val="ListParagraph"/>
        <w:numPr>
          <w:ilvl w:val="0"/>
          <w:numId w:val="2"/>
        </w:numPr>
        <w:spacing w:before="40" w:after="40"/>
      </w:pPr>
      <w:r>
        <w:rPr>
          <w:rFonts w:ascii="Arial" w:cs="Arial" w:eastAsia="Arial" w:hAnsi="Arial"/>
          <w:b w:val="false"/>
          <w:bCs w:val="false"/>
          <w:color w:val="1A2B3C"/>
          <w:sz w:val="22"/>
          <w:szCs w:val="22"/>
        </w:rPr>
        <w:t xml:space="preserve">Large-scale independent panels (PowerReviews 1.5M pages, Forrester audit): +100–200% when users interact</w:t>
      </w:r>
    </w:p>
    <w:p>
      <w:pPr>
        <w:pStyle w:val="ListParagraph"/>
        <w:numPr>
          <w:ilvl w:val="0"/>
          <w:numId w:val="2"/>
        </w:numPr>
        <w:spacing w:before="40" w:after="40"/>
      </w:pPr>
      <w:r>
        <w:rPr>
          <w:rFonts w:ascii="Arial" w:cs="Arial" w:eastAsia="Arial" w:hAnsi="Arial"/>
          <w:b w:val="false"/>
          <w:bCs w:val="false"/>
          <w:color w:val="1A2B3C"/>
          <w:sz w:val="22"/>
          <w:szCs w:val="22"/>
        </w:rPr>
        <w:t xml:space="preserve">Category-specific data (Bazaarvoice food/nutrition): 2.8× higher CVR than general ecommerce</w:t>
      </w:r>
    </w:p>
    <w:p>
      <w:pPr>
        <w:pStyle w:val="ListParagraph"/>
        <w:numPr>
          <w:ilvl w:val="0"/>
          <w:numId w:val="2"/>
        </w:numPr>
        <w:spacing w:before="40" w:after="40"/>
      </w:pPr>
      <w:r>
        <w:rPr>
          <w:rFonts w:ascii="Arial" w:cs="Arial" w:eastAsia="Arial" w:hAnsi="Arial"/>
          <w:b w:val="false"/>
          <w:bCs w:val="false"/>
          <w:color w:val="1A2B3C"/>
          <w:sz w:val="22"/>
          <w:szCs w:val="22"/>
        </w:rPr>
        <w:t xml:space="preserve">Same-vertical brands (SNEAK, XXL Nutrition, Bulk.com): consistent double-digit lifts across nutrition</w:t>
      </w:r>
    </w:p>
    <w:p>
      <w:pPr>
        <w:pStyle w:val="ListParagraph"/>
        <w:numPr>
          <w:ilvl w:val="0"/>
          <w:numId w:val="2"/>
        </w:numPr>
        <w:spacing w:before="40" w:after="40"/>
      </w:pPr>
      <w:r>
        <w:rPr>
          <w:rFonts w:ascii="Arial" w:cs="Arial" w:eastAsia="Arial" w:hAnsi="Arial"/>
          <w:b w:val="false"/>
          <w:bCs w:val="false"/>
          <w:color w:val="1A2B3C"/>
          <w:sz w:val="22"/>
          <w:szCs w:val="22"/>
        </w:rPr>
        <w:t xml:space="preserve">Multiple platforms (Videowise, Bambuser, Bazaarvoice, Flowbox, Yotpo, Insense, Shoplift): platform-agnostic pattern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9B" w:sz="8"/>
              <w:left w:val="none" w:color="FFFFFF" w:sz="0"/>
              <w:bottom w:val="none" w:color="FFFFFF" w:sz="0"/>
              <w:right w:val="none" w:color="FFFFFF" w:sz="0"/>
            </w:tcBorders>
            <w:shd w:fill="E8F1F8" w:val="clear"/>
            <w:tcMar>
              <w:top w:type="dxa" w:w="140"/>
              <w:left w:type="dxa" w:w="200"/>
              <w:bottom w:type="dxa" w:w="140"/>
              <w:right w:type="dxa" w:w="200"/>
            </w:tcMar>
          </w:tcPr>
          <w:p>
            <w:pPr>
              <w:spacing w:before="0" w:after="60"/>
            </w:pPr>
            <w:r>
              <w:rPr>
                <w:rFonts w:ascii="Arial" w:cs="Arial" w:eastAsia="Arial" w:hAnsi="Arial"/>
                <w:b/>
                <w:bCs/>
                <w:color w:val="2D6A9B"/>
                <w:sz w:val="22"/>
                <w:szCs w:val="22"/>
              </w:rPr>
              <w:t xml:space="preserve">The proposal-closing argument</w:t>
            </w:r>
          </w:p>
          <w:p>
            <w:pPr>
              <w:spacing w:before="0" w:after="0"/>
            </w:pPr>
            <w:r>
              <w:rPr>
                <w:rFonts w:ascii="Arial" w:cs="Arial" w:eastAsia="Arial" w:hAnsi="Arial"/>
                <w:color w:val="1A2B3C"/>
                <w:sz w:val="21"/>
                <w:szCs w:val="21"/>
              </w:rPr>
              <w:t xml:space="preserve">Just Ingredients already has the most valuable asset in this equation: a library of authentic creator and influencer video content that is proven to generate engagement on social platforms. The product page is the only high-intent touchpoint in the customer journey where that content is not currently deployed. Moving it there is not an experiment — the experiment has already been run, repeatedly, by brands nearly identical to Just Ingredients. The only question is how quickly this implementation can be prioritised.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2B3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D6A9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D6A9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2026-03-06T15:03:00.828Z</dcterms:created>
  <dcterms:modified xsi:type="dcterms:W3CDTF">2026-03-06T15:03:00.829Z</dcterms:modified>
</cp:coreProperties>
</file>

<file path=docProps/custom.xml><?xml version="1.0" encoding="utf-8"?>
<Properties xmlns="http://schemas.openxmlformats.org/officeDocument/2006/custom-properties" xmlns:vt="http://schemas.openxmlformats.org/officeDocument/2006/docPropsVTypes"/>
</file>