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SPEAKER SCRIPT  /  16 SLIDES · 20 MINUTES</w:t>
      </w:r>
    </w:p>
    <w:p>
      <w:pPr>
        <w:pStyle w:val="Title"/>
      </w:pPr>
      <w:r>
        <w:t>TheOtherDay 2026</w:t>
        <w:br/>
        <w:t>발표 멘트</w:t>
      </w:r>
    </w:p>
    <w:p>
      <w:pPr>
        <w:pStyle w:val="Subtitle"/>
        <w:spacing w:after="400"/>
      </w:pPr>
      <w:r>
        <w:t>증명한 기술을,</w:t>
        <w:br/>
        <w:t>모두가 누리는 서비스로.</w:t>
      </w:r>
    </w:p>
    <w:p>
      <w:pPr>
        <w:pStyle w:val="Meta"/>
      </w:pPr>
      <w:r>
        <w:t>사용 안내</w:t>
      </w:r>
    </w:p>
    <w:p>
      <w:pPr>
        <w:pStyle w:val="Small"/>
      </w:pPr>
      <w:r>
        <w:t>최종 개정안의 발표 장표 01~16을 기준으로 작성했습니다. 표지·목차·부록은 별도 발표 장으로 세지 않으며, 최종 클로징은 16장에 포함했습니다.</w:t>
      </w:r>
    </w:p>
    <w:p>
      <w:pPr>
        <w:pStyle w:val="Small"/>
      </w:pPr>
      <w:r>
        <w:t>본문은 그대로 읽는 발표 멘트입니다. 장 제목·거버닝 메시지·진행 힌트·검토 메모는 발표자용 안내이며, 따로 읽지 않습니다. 마지막 굵은 문장은 강조합니다.</w:t>
      </w:r>
    </w:p>
    <w:p>
      <w:pPr>
        <w:pStyle w:val="Small"/>
      </w:pPr>
      <w:r>
        <w:t>본문 약 6,700자(공백 제외). 분당 약 350자 낭독에 호흡과 장표 전환을 더한 20분 목표 원고입니다. 실제 발화 속도에 따라 리허설에서 조정합니다.</w:t>
      </w:r>
    </w:p>
    <w:p>
      <w:pPr>
        <w:pStyle w:val="Meta"/>
      </w:pPr>
      <w:r>
        <w:t>진행 시간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6803"/>
        <w:gridCol w:w="1701"/>
      </w:tblGrid>
      <w:tr>
        <w:tc>
          <w:tcPr>
            <w:tcW w:type="dxa" w:w="3213"/>
            <w:vAlign w:val="center"/>
            <w:shd w:fill="13314C"/>
          </w:tcPr>
          <w:p>
            <w:pPr>
              <w:pStyle w:val="Small"/>
              <w:spacing w:after="100" w:before="100"/>
            </w:pPr>
            <w:r>
              <w:rPr>
                <w:b/>
                <w:color w:val="FFFFFF"/>
                <w:sz w:val="20"/>
              </w:rPr>
              <w:t>장</w:t>
            </w:r>
          </w:p>
        </w:tc>
        <w:tc>
          <w:tcPr>
            <w:tcW w:type="dxa" w:w="3213"/>
            <w:vAlign w:val="center"/>
            <w:shd w:fill="13314C"/>
          </w:tcPr>
          <w:p>
            <w:pPr>
              <w:pStyle w:val="Small"/>
              <w:spacing w:after="100" w:before="100"/>
            </w:pPr>
            <w:r>
              <w:rPr>
                <w:b/>
                <w:color w:val="FFFFFF"/>
                <w:sz w:val="20"/>
              </w:rPr>
              <w:t>흐름</w:t>
            </w:r>
          </w:p>
        </w:tc>
        <w:tc>
          <w:tcPr>
            <w:tcW w:type="dxa" w:w="3213"/>
            <w:vAlign w:val="center"/>
            <w:shd w:fill="13314C"/>
          </w:tcPr>
          <w:p>
            <w:pPr>
              <w:pStyle w:val="Small"/>
              <w:spacing w:after="100" w:before="100"/>
            </w:pPr>
            <w:r>
              <w:rPr>
                <w:b/>
                <w:color w:val="FFFFFF"/>
                <w:sz w:val="20"/>
              </w:rPr>
              <w:t>시간</w:t>
            </w:r>
          </w:p>
        </w:tc>
      </w:tr>
      <w:tr>
        <w:tc>
          <w:tcPr>
            <w:tcW w:type="dxa" w:w="1134"/>
            <w:vAlign w:val="center"/>
            <w:shd w:fill="F1F5F7"/>
          </w:tcPr>
          <w:p>
            <w:pPr>
              <w:pStyle w:val="Small"/>
              <w:spacing w:after="100" w:before="100"/>
            </w:pPr>
            <w:r>
              <w:rPr>
                <w:b w:val="0"/>
                <w:sz w:val="20"/>
              </w:rPr>
              <w:t>01–03</w:t>
            </w:r>
          </w:p>
        </w:tc>
        <w:tc>
          <w:tcPr>
            <w:tcW w:type="dxa" w:w="6803"/>
            <w:vAlign w:val="center"/>
            <w:shd w:fill="F1F5F7"/>
          </w:tcPr>
          <w:p>
            <w:pPr>
              <w:pStyle w:val="Small"/>
              <w:spacing w:after="100" w:before="100"/>
            </w:pPr>
            <w:r>
              <w:rPr>
                <w:b w:val="0"/>
                <w:sz w:val="20"/>
              </w:rPr>
              <w:t>시장 증명 · 문제 제기 · 기술 융합</w:t>
            </w:r>
          </w:p>
        </w:tc>
        <w:tc>
          <w:tcPr>
            <w:tcW w:type="dxa" w:w="1701"/>
            <w:vAlign w:val="center"/>
            <w:shd w:fill="F1F5F7"/>
          </w:tcPr>
          <w:p>
            <w:pPr>
              <w:pStyle w:val="Small"/>
              <w:spacing w:after="100" w:before="100"/>
            </w:pPr>
            <w:r>
              <w:rPr>
                <w:b w:val="0"/>
                <w:sz w:val="20"/>
              </w:rPr>
              <w:t>4분 30초</w:t>
            </w:r>
          </w:p>
        </w:tc>
      </w:tr>
      <w:tr>
        <w:tc>
          <w:tcPr>
            <w:tcW w:type="dxa" w:w="1134"/>
            <w:vAlign w:val="center"/>
            <w:shd w:fill="FFFFFF"/>
          </w:tcPr>
          <w:p>
            <w:pPr>
              <w:pStyle w:val="Small"/>
              <w:spacing w:after="100" w:before="100"/>
            </w:pPr>
            <w:r>
              <w:rPr>
                <w:b w:val="0"/>
                <w:sz w:val="20"/>
              </w:rPr>
              <w:t>04–05</w:t>
            </w:r>
          </w:p>
        </w:tc>
        <w:tc>
          <w:tcPr>
            <w:tcW w:type="dxa" w:w="6803"/>
            <w:vAlign w:val="center"/>
            <w:shd w:fill="FFFFFF"/>
          </w:tcPr>
          <w:p>
            <w:pPr>
              <w:pStyle w:val="Small"/>
              <w:spacing w:after="100" w:before="100"/>
            </w:pPr>
            <w:r>
              <w:rPr>
                <w:b w:val="0"/>
                <w:sz w:val="20"/>
              </w:rPr>
              <w:t>서비스 전환 · 세 가지 서비스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pStyle w:val="Small"/>
              <w:spacing w:after="100" w:before="100"/>
            </w:pPr>
            <w:r>
              <w:rPr>
                <w:b w:val="0"/>
                <w:sz w:val="20"/>
              </w:rPr>
              <w:t>2분</w:t>
            </w:r>
          </w:p>
        </w:tc>
      </w:tr>
      <w:tr>
        <w:tc>
          <w:tcPr>
            <w:tcW w:type="dxa" w:w="1134"/>
            <w:vAlign w:val="center"/>
            <w:shd w:fill="F1F5F7"/>
          </w:tcPr>
          <w:p>
            <w:pPr>
              <w:pStyle w:val="Small"/>
              <w:spacing w:after="100" w:before="100"/>
            </w:pPr>
            <w:r>
              <w:rPr>
                <w:b w:val="0"/>
                <w:sz w:val="20"/>
              </w:rPr>
              <w:t>06–08</w:t>
            </w:r>
          </w:p>
        </w:tc>
        <w:tc>
          <w:tcPr>
            <w:tcW w:type="dxa" w:w="6803"/>
            <w:vAlign w:val="center"/>
            <w:shd w:fill="F1F5F7"/>
          </w:tcPr>
          <w:p>
            <w:pPr>
              <w:pStyle w:val="Small"/>
              <w:spacing w:after="100" w:before="100"/>
            </w:pPr>
            <w:r>
              <w:rPr>
                <w:b w:val="0"/>
                <w:sz w:val="20"/>
              </w:rPr>
              <w:t>Space · Town · 대학 활용</w:t>
            </w:r>
          </w:p>
        </w:tc>
        <w:tc>
          <w:tcPr>
            <w:tcW w:type="dxa" w:w="1701"/>
            <w:vAlign w:val="center"/>
            <w:shd w:fill="F1F5F7"/>
          </w:tcPr>
          <w:p>
            <w:pPr>
              <w:pStyle w:val="Small"/>
              <w:spacing w:after="100" w:before="100"/>
            </w:pPr>
            <w:r>
              <w:rPr>
                <w:b w:val="0"/>
                <w:sz w:val="20"/>
              </w:rPr>
              <w:t>4분 30초</w:t>
            </w:r>
          </w:p>
        </w:tc>
      </w:tr>
      <w:tr>
        <w:tc>
          <w:tcPr>
            <w:tcW w:type="dxa" w:w="1134"/>
            <w:vAlign w:val="center"/>
            <w:shd w:fill="FFFFFF"/>
          </w:tcPr>
          <w:p>
            <w:pPr>
              <w:pStyle w:val="Small"/>
              <w:spacing w:after="100" w:before="100"/>
            </w:pPr>
            <w:r>
              <w:rPr>
                <w:b w:val="0"/>
                <w:sz w:val="20"/>
              </w:rPr>
              <w:t>09–12</w:t>
            </w:r>
          </w:p>
        </w:tc>
        <w:tc>
          <w:tcPr>
            <w:tcW w:type="dxa" w:w="6803"/>
            <w:vAlign w:val="center"/>
            <w:shd w:fill="FFFFFF"/>
          </w:tcPr>
          <w:p>
            <w:pPr>
              <w:pStyle w:val="Small"/>
              <w:spacing w:after="100" w:before="100"/>
            </w:pPr>
            <w:r>
              <w:rPr>
                <w:b w:val="0"/>
                <w:sz w:val="20"/>
              </w:rPr>
              <w:t>Kstory 준비 계기 · 독서 경험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pStyle w:val="Small"/>
              <w:spacing w:after="100" w:before="100"/>
            </w:pPr>
            <w:r>
              <w:rPr>
                <w:b w:val="0"/>
                <w:sz w:val="20"/>
              </w:rPr>
              <w:t>4분 30초</w:t>
            </w:r>
          </w:p>
        </w:tc>
      </w:tr>
      <w:tr>
        <w:tc>
          <w:tcPr>
            <w:tcW w:type="dxa" w:w="1134"/>
            <w:vAlign w:val="center"/>
            <w:shd w:fill="F1F5F7"/>
          </w:tcPr>
          <w:p>
            <w:pPr>
              <w:pStyle w:val="Small"/>
              <w:spacing w:after="100" w:before="100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6803"/>
            <w:vAlign w:val="center"/>
            <w:shd w:fill="F1F5F7"/>
          </w:tcPr>
          <w:p>
            <w:pPr>
              <w:pStyle w:val="Small"/>
              <w:spacing w:after="100" w:before="100"/>
            </w:pPr>
            <w:r>
              <w:rPr>
                <w:b w:val="0"/>
                <w:sz w:val="20"/>
              </w:rPr>
              <w:t>기관별 기대효과</w:t>
            </w:r>
          </w:p>
        </w:tc>
        <w:tc>
          <w:tcPr>
            <w:tcW w:type="dxa" w:w="1701"/>
            <w:vAlign w:val="center"/>
            <w:shd w:fill="F1F5F7"/>
          </w:tcPr>
          <w:p>
            <w:pPr>
              <w:pStyle w:val="Small"/>
              <w:spacing w:after="100" w:before="100"/>
            </w:pPr>
            <w:r>
              <w:rPr>
                <w:b w:val="0"/>
                <w:sz w:val="20"/>
              </w:rPr>
              <w:t>1분 30초</w:t>
            </w:r>
          </w:p>
        </w:tc>
      </w:tr>
      <w:tr>
        <w:tc>
          <w:tcPr>
            <w:tcW w:type="dxa" w:w="1134"/>
            <w:vAlign w:val="center"/>
            <w:shd w:fill="FFFFFF"/>
          </w:tcPr>
          <w:p>
            <w:pPr>
              <w:pStyle w:val="Small"/>
              <w:spacing w:after="100" w:before="100"/>
            </w:pPr>
            <w:r>
              <w:rPr>
                <w:b w:val="0"/>
                <w:sz w:val="20"/>
              </w:rPr>
              <w:t>14–16</w:t>
            </w:r>
          </w:p>
        </w:tc>
        <w:tc>
          <w:tcPr>
            <w:tcW w:type="dxa" w:w="6803"/>
            <w:vAlign w:val="center"/>
            <w:shd w:fill="FFFFFF"/>
          </w:tcPr>
          <w:p>
            <w:pPr>
              <w:pStyle w:val="Small"/>
              <w:spacing w:after="100" w:before="100"/>
            </w:pPr>
            <w:r>
              <w:rPr>
                <w:b w:val="0"/>
                <w:sz w:val="20"/>
              </w:rPr>
              <w:t>통제 · 실행계획 · 비전과 클로징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pStyle w:val="Small"/>
              <w:spacing w:after="100" w:before="100"/>
            </w:pPr>
            <w:r>
              <w:rPr>
                <w:b w:val="0"/>
                <w:sz w:val="20"/>
              </w:rPr>
              <w:t>3분</w:t>
            </w:r>
          </w:p>
        </w:tc>
      </w:tr>
    </w:tbl>
    <w:p>
      <w:pPr>
        <w:pStyle w:val="Meta"/>
      </w:pPr>
      <w:r>
        <w:t>발표 전 확인</w:t>
      </w:r>
    </w:p>
    <w:p>
      <w:pPr>
        <w:pStyle w:val="Review"/>
      </w:pPr>
      <w:r>
        <w:t>01장의 수치는 최종안의 집계값이며 원천자료 대조가 필요합니다. 03장의 로드스터 시연은 원문에서도 미확인 사항이므로, 멘트에서는 기술 융합의 가정으로만 설명합니다. 기관 도입효과와 중장기 기능은 현재 실적과 구분했습니다.</w:t>
      </w:r>
    </w:p>
    <w:p>
      <w:pPr>
        <w:pStyle w:val="Review"/>
      </w:pPr>
      <w:r>
        <w:t>기준 자료: TheOtherDay_2026_발표자료_최종개정안.docx / AI시민동화책_공공도서관_발표멘트_PART2.md. 본 원고는 해당 자료의 구술용 재작성본이며 별도의 외부 사실 검증 결과는 아닙니다.</w:t>
      </w:r>
    </w:p>
    <w:p>
      <w:pPr>
        <w:pStyle w:val="Meta"/>
        <w:pageBreakBefore/>
      </w:pPr>
      <w:r>
        <w:t>01 / 16    1분 30초    |    00:00–01:30</w:t>
      </w:r>
    </w:p>
    <w:p>
      <w:pPr>
        <w:pStyle w:val="Heading1"/>
      </w:pPr>
      <w:r>
        <w:t>89.4%의 선택, 이제 서비스로</w:t>
      </w:r>
    </w:p>
    <w:p>
      <w:pPr>
        <w:keepNext/>
        <w:spacing w:line="380" w:lineRule="exact" w:before="100" w:after="240"/>
        <w:shd w:fill="EAF3F4"/>
        <w:ind w:left="130" w:right="130"/>
      </w:pPr>
      <w:r>
        <w:rPr>
          <w:b/>
          <w:color w:val="007F83"/>
          <w:sz w:val="25"/>
        </w:rPr>
        <w:t>시장이 선택한 기술은, 더 많은 사람이 사용할 수 있어야 합니다.</w:t>
      </w:r>
    </w:p>
    <w:p>
      <w:pPr>
        <w:pStyle w:val="Cue"/>
      </w:pPr>
      <w:r>
        <w:t>진행 힌트  |  89.4%를 가리킨 뒤 한 박자 쉬고, 마지막 두 문장은 청중을 보며 말합니다.</w:t>
      </w:r>
    </w:p>
    <w:p>
      <w:pPr>
        <w:keepLines/>
      </w:pPr>
      <w:r>
        <w:t>안녕하십니까. 오늘은 틸론이 어떤 서비스를 출시하는지에 앞서, 왜 이 서비스를 시작하게 됐는지 말씀드리겠습니다.</w:t>
      </w:r>
    </w:p>
    <w:p>
      <w:pPr>
        <w:keepLines/>
      </w:pPr>
      <w:r>
        <w:t>먼저 화면의 숫자를 봐주시겠습니까. 89.4퍼센트입니다. 이번 발표자료에서 집계한, 2021년 8월부터 2026년 8월까지 직접 VDI·보안가상화 제품의 누적 조달 판매액 기준 점유율입니다. 같은 집계에서 틸론의 판매액은 110억 5천만 원, 판매 건수는 103건입니다.</w:t>
      </w:r>
    </w:p>
    <w:p>
      <w:pPr>
        <w:keepLines/>
      </w:pPr>
      <w:r>
        <w:t>저희가 주목하는 것은 숫자의 크기만이 아닙니다. 공공기관의 업무환경에 국산 소프트웨어가 선택됐고, 그 고객의 환경을 구축하고 운영하는 과정에서 기술과 경험이 축적됐다는 점입니다.</w:t>
      </w:r>
    </w:p>
    <w:p>
      <w:pPr>
        <w:keepLines/>
      </w:pPr>
      <w:r>
        <w:t>그런데 저희는 여기서 한 가지 질문을 던졌습니다. 이렇게 준비한 기술을, 직접 시스템을 구축할 수 있는 고객만 사용해야 할까요? 필요한 환경을 서비스로 이용하려는 기업과 학교, 개인에게도 열어줄 수 있지 않을까요?</w:t>
      </w:r>
    </w:p>
    <w:p>
      <w:pPr>
        <w:keepLines/>
      </w:pPr>
      <w:r>
        <w:t>기술을 잘 만드는 것과, 더 많은 사람이 그 기술을 사용하게 만드는 것은 서로 다른 과제입니다. 틸론은 이제 두 번째 과제에도 답하려고 합니다.</w:t>
      </w:r>
    </w:p>
    <w:p>
      <w:pPr>
        <w:keepLines/>
      </w:pPr>
      <w:r>
        <w:rPr>
          <w:b/>
          <w:color w:val="13314C"/>
        </w:rPr>
        <w:t>시장이 선택한 기술은 더 많은 사람이 사용할 수 있어야 합니다. 구축으로 증명한 기술을 서비스로 개방하는 것. 이것이 오늘 발표의 출발점입니다.</w:t>
      </w:r>
    </w:p>
    <w:p>
      <w:pPr>
        <w:pStyle w:val="Review"/>
        <w:spacing w:before="180"/>
      </w:pPr>
      <w:r>
        <w:t>검토 메모  |  수치는 최종 개정안의 내부 집계값을 유지했습니다. 발표 전 원천자료·비교 범위 확인이 필요합니다.</w:t>
      </w:r>
    </w:p>
    <w:p>
      <w:pPr>
        <w:pStyle w:val="Meta"/>
        <w:pageBreakBefore/>
      </w:pPr>
      <w:r>
        <w:t>02 / 16    1분 35초    |    01:30–03:05</w:t>
      </w:r>
    </w:p>
    <w:p>
      <w:pPr>
        <w:pStyle w:val="Heading1"/>
      </w:pPr>
      <w:r>
        <w:t>기술은 넘치는데, 시작은 왜 여전히 어려울까요?</w:t>
      </w:r>
    </w:p>
    <w:p>
      <w:pPr>
        <w:keepNext/>
        <w:spacing w:line="380" w:lineRule="exact" w:before="100" w:after="240"/>
        <w:shd w:fill="EAF3F4"/>
        <w:ind w:left="130" w:right="130"/>
      </w:pPr>
      <w:r>
        <w:rPr>
          <w:b/>
          <w:color w:val="007F83"/>
          <w:sz w:val="25"/>
        </w:rPr>
        <w:t>기술은 앞서갔습니다. 시작의 문턱은 남았습니다.</w:t>
      </w:r>
    </w:p>
    <w:p>
      <w:pPr>
        <w:pStyle w:val="Cue"/>
      </w:pPr>
      <w:r>
        <w:t>진행 힌트  |  업무환경·실습환경·비용·첫 경험의 네 가지 장벽을 차례로 짚습니다.</w:t>
      </w:r>
    </w:p>
    <w:p>
      <w:pPr>
        <w:keepLines/>
      </w:pPr>
      <w:r>
        <w:t>여러분도 새로운 일을 시작하려다가, 준비하는 일에 더 많은 시간을 쓰신 경험이 있으실 겁니다.</w:t>
      </w:r>
    </w:p>
    <w:p>
      <w:pPr>
        <w:keepLines/>
      </w:pPr>
      <w:r>
        <w:t>일을 시작하기 전에, 업무환경부터 준비해야 합니다. 장비를 마련하고, 프로그램을 설치하고, 관리와 보안을 고민해야 합니다.</w:t>
      </w:r>
    </w:p>
    <w:p>
      <w:pPr>
        <w:keepLines/>
      </w:pPr>
      <w:r>
        <w:t>AI를 배우기 전에, 실습환경부터 갖춰야 합니다. 컴퓨팅 자원과 개발환경을 준비하는 일이 실제 학습에 앞섭니다.</w:t>
      </w:r>
    </w:p>
    <w:p>
      <w:pPr>
        <w:keepLines/>
      </w:pPr>
      <w:r>
        <w:t>환경을 준비한 뒤에도 또 다른 문턱이 남아 있습니다. 바로 비용입니다. 여러 상용 LLM을 마음껏 사용하기에는 토큰 비용이 부담스럽습니다. 다양한 AI 모델을 업무에 활용하려는데, 누가 어떤 모델을 얼마나 쓰는지, 전체 비용은 얼마인지부터 걱정해야 하는 것입니다.</w:t>
      </w:r>
    </w:p>
    <w:p>
      <w:pPr>
        <w:keepLines/>
      </w:pPr>
      <w:r>
        <w:t>TheOther.Town의 iStation이 주목한 문제가 바로 이것입니다. 여러 모델과 사용량, 조직의 예산을 함께 관리해, AI를 더 지속적으로 활용할 수 있게 하자는 것입니다. 무료로 무제한 사용하게 한다는 뜻이 아니라, 필요한 사용과 비용을 함께 관리하겠다는 의미입니다.</w:t>
      </w:r>
    </w:p>
    <w:p>
      <w:pPr>
        <w:keepLines/>
      </w:pPr>
      <w:r>
        <w:t>마지막으로, AI를 처음 만나는 분들에게는 써볼 계기 자체가 필요합니다. Kstory.ai는 내 이야기로 책을 만드는 친근한 경험에서 그 출발점을 찾았습니다.</w:t>
      </w:r>
    </w:p>
    <w:p>
      <w:pPr>
        <w:keepLines/>
      </w:pPr>
      <w:r>
        <w:rPr>
          <w:b/>
          <w:color w:val="13314C"/>
        </w:rPr>
        <w:t>일할 환경, AI를 배울 환경, 비용을 관리하며 활용할 환경, 그리고 첫 경험. 기술은 앞서갔지만 남아 있는 이 네 가지 문턱을, 틸론은 서비스로 낮추고자 합니다.</w:t>
      </w:r>
    </w:p>
    <w:p>
      <w:pPr>
        <w:pStyle w:val="Meta"/>
        <w:pageBreakBefore/>
      </w:pPr>
      <w:r>
        <w:t>03 / 16    1분 25초    |    03:05–04:30</w:t>
      </w:r>
    </w:p>
    <w:p>
      <w:pPr>
        <w:pStyle w:val="Heading1"/>
      </w:pPr>
      <w:r>
        <w:t>자동차를 띄운 것은, 자동차 기술만이 아니었습니다</w:t>
      </w:r>
    </w:p>
    <w:p>
      <w:pPr>
        <w:keepNext/>
        <w:spacing w:line="380" w:lineRule="exact" w:before="100" w:after="240"/>
        <w:shd w:fill="EAF3F4"/>
        <w:ind w:left="130" w:right="130"/>
      </w:pPr>
      <w:r>
        <w:rPr>
          <w:b/>
          <w:color w:val="007F83"/>
          <w:sz w:val="25"/>
        </w:rPr>
        <w:t>혁신은 한 기술의 진화가 아니라, 축적된 기술이 연결되는 순간 탄생합니다.</w:t>
      </w:r>
    </w:p>
    <w:p>
      <w:pPr>
        <w:pStyle w:val="Cue"/>
      </w:pPr>
      <w:r>
        <w:t>진행 힌트  |  로드스터는 기술 융합을 설명하는 가정으로만 말합니다. 실제 시연 완료 여부는 단정하지 않습니다.</w:t>
      </w:r>
    </w:p>
    <w:p>
      <w:pPr>
        <w:keepLines/>
      </w:pPr>
      <w:r>
        <w:t>그렇다면 왜 틸론이 이 문제에 답할 수 있을까요? 저희는 그 답이 오래 축적한 기술의 연결에 있다고 생각합니다.</w:t>
      </w:r>
    </w:p>
    <w:p>
      <w:pPr>
        <w:keepLines/>
      </w:pPr>
      <w:r>
        <w:t>장표에 나온 테슬라의 전기차 기술과 스페이스X의 로켓 기술을 결합한다는 발상을 생각해 보시겠습니다. 자동차에 로켓 추진 기술을 더한다면 어떨까요? 한 분야만 발전시킬 때와는 다른 가능성을 상상하게 됩니다. 핵심은 서로 다른 분야에서 쌓은 기술의 연결입니다.</w:t>
      </w:r>
    </w:p>
    <w:p>
      <w:pPr>
        <w:keepLines/>
      </w:pPr>
      <w:r>
        <w:t>틸론 역시 한 가지 기술만으로 오늘의 서비스를 준비한 것이 아닙니다. VDI와 DaaS로는 안전한 업무공간을, GPU Partitioning과 Slicing으로는 고성능 자원을 나누어 쓰는 기반을 준비했습니다. 보안관제와 접근통제는 그 공간을 운영하는 신뢰의 기반입니다.</w:t>
      </w:r>
    </w:p>
    <w:p>
      <w:pPr>
        <w:keepLines/>
      </w:pPr>
      <w:r>
        <w:t>여기에 iStation의 여러 AI 모델 활용, 토큰 관리, 내부문서 검색을 연결하고, TStation의 개발·실습환경을 더합니다. 업무공간과 컴퓨팅 자원, AI 활용을 고객의 목적에 맞게 연결하는 것입니다.</w:t>
      </w:r>
    </w:p>
    <w:p>
      <w:pPr>
        <w:keepLines/>
      </w:pPr>
      <w:r>
        <w:t>새로운 서비스라고 준비까지 새로운 것은 아닙니다. 오래 쌓은 기술이 있었기에, 새로운 전달 방식을 선택할 수 있었습니다.</w:t>
      </w:r>
    </w:p>
    <w:p>
      <w:pPr>
        <w:keepLines/>
      </w:pPr>
      <w:r>
        <w:rPr>
          <w:b/>
          <w:color w:val="13314C"/>
        </w:rPr>
        <w:t>AI가 유행해서 갑자기 출발한 것이 아닙니다. 오래 준비한 기술을, 이제 고객이 사용하는 서비스로 연결하는 것입니다.</w:t>
      </w:r>
    </w:p>
    <w:p>
      <w:pPr>
        <w:pStyle w:val="Review"/>
        <w:spacing w:before="180"/>
      </w:pPr>
      <w:r>
        <w:t>검토 메모  |  원문에 실제 시연 여부가 확인되지 않았다고 명시되어 있습니다. 이 멘트는 기술 융합의 가정으로 작성했습니다. 시연 완료를 단정하는 원 장표 제목도 발표 전 확인이 필요합니다.</w:t>
      </w:r>
    </w:p>
    <w:p>
      <w:pPr>
        <w:pStyle w:val="Meta"/>
        <w:pageBreakBefore/>
      </w:pPr>
      <w:r>
        <w:t>04 / 16    1분 15초    |    04:30–05:45</w:t>
      </w:r>
    </w:p>
    <w:p>
      <w:pPr>
        <w:pStyle w:val="Heading1"/>
      </w:pPr>
      <w:r>
        <w:t>구축을 끝내는 회사에서, 사용을 계속 책임지는 회사로</w:t>
      </w:r>
    </w:p>
    <w:p>
      <w:pPr>
        <w:keepNext/>
        <w:spacing w:line="380" w:lineRule="exact" w:before="100" w:after="240"/>
        <w:shd w:fill="EAF3F4"/>
        <w:ind w:left="130" w:right="130"/>
      </w:pPr>
      <w:r>
        <w:rPr>
          <w:b/>
          <w:color w:val="007F83"/>
          <w:sz w:val="25"/>
        </w:rPr>
        <w:t>납품은 한 번이지만, 서비스는 매일 증명됩니다.</w:t>
      </w:r>
    </w:p>
    <w:p>
      <w:pPr>
        <w:pStyle w:val="Cue"/>
      </w:pPr>
      <w:r>
        <w:t>진행 힌트  |  구축형 사업의 대체가 아닌 확장이라는 점을 분명히 말합니다.</w:t>
      </w:r>
    </w:p>
    <w:p>
      <w:pPr>
        <w:keepLines/>
      </w:pPr>
      <w:r>
        <w:t>이 변화는 제품 이름을 바꾸는 일이 아닙니다. 고객에게 기술을 전달하는 방식과, 고객과의 관계를 바꾸는 일입니다.</w:t>
      </w:r>
    </w:p>
    <w:p>
      <w:pPr>
        <w:keepLines/>
      </w:pPr>
      <w:r>
        <w:t>고객이 원하는 것은 서버가 아니라 업무를 시작하는 것이고, GPU 보유가 아니라 AI 활용입니다. 좋은 장비라도 사용하기 어렵다면 고객의 문제는 아직 해결되지 않은 셈입니다.</w:t>
      </w:r>
    </w:p>
    <w:p>
      <w:pPr>
        <w:keepLines/>
      </w:pPr>
      <w:r>
        <w:t>그래서 TheOther.Space는 업무환경을, TheOther.Town은 AI 실습과 개발환경을 서비스로 제공합니다. 그 안의 iStation은 모델과 사용량, 비용과 내부문서 활용을 함께 관리합니다. Kstory.ai는 이야기를 만드는 과정 자체가 AI를 경험하는 방법이 되도록 합니다.</w:t>
      </w:r>
    </w:p>
    <w:p>
      <w:pPr>
        <w:keepLines/>
      </w:pPr>
      <w:r>
        <w:t>물론 구축형 사업을 포기하는 것은 아닙니다. 직접 구축해야 하는 고객에게는 구축형을, 필요한 환경을 이용하려는 고객에게는 서비스형을 제공하겠다는 확장입니다.</w:t>
      </w:r>
    </w:p>
    <w:p>
      <w:pPr>
        <w:keepLines/>
      </w:pPr>
      <w:r>
        <w:t>서비스는 출시 다음 날에도 개선해야 합니다. 달라지는 현장의 요구를 계속 반영해야 합니다.</w:t>
      </w:r>
    </w:p>
    <w:p>
      <w:pPr>
        <w:keepLines/>
      </w:pPr>
      <w:r>
        <w:rPr>
          <w:b/>
          <w:color w:val="13314C"/>
        </w:rPr>
        <w:t>납품은 한 번이지만, 서비스는 매일 증명됩니다. 틸론은 그 책임까지 사업의 범위로 가져가고자 합니다.</w:t>
      </w:r>
    </w:p>
    <w:p>
      <w:pPr>
        <w:pStyle w:val="Meta"/>
        <w:pageBreakBefore/>
      </w:pPr>
      <w:r>
        <w:t>05 / 16    45초    |    05:45–06:30</w:t>
      </w:r>
    </w:p>
    <w:p>
      <w:pPr>
        <w:pStyle w:val="Heading1"/>
      </w:pPr>
      <w:r>
        <w:t>세 가지 서비스, 하나의 선언</w:t>
      </w:r>
    </w:p>
    <w:p>
      <w:pPr>
        <w:keepNext/>
        <w:spacing w:line="380" w:lineRule="exact" w:before="100" w:after="240"/>
        <w:shd w:fill="EAF3F4"/>
        <w:ind w:left="130" w:right="130"/>
      </w:pPr>
      <w:r>
        <w:rPr>
          <w:b/>
          <w:color w:val="007F83"/>
          <w:sz w:val="25"/>
        </w:rPr>
        <w:t>기술의 진입장벽은 낮추고, 사용자의 가능성은 높입니다.</w:t>
      </w:r>
    </w:p>
    <w:p>
      <w:pPr>
        <w:pStyle w:val="Cue"/>
      </w:pPr>
      <w:r>
        <w:t>진행 힌트  |  세 서비스명을 또렷하게 말하고, 상세 기능은 다음 장으로 넘깁니다.</w:t>
      </w:r>
    </w:p>
    <w:p>
      <w:pPr>
        <w:keepLines/>
      </w:pPr>
      <w:r>
        <w:t>그 방향을 세 가지 서비스로 정리했습니다.</w:t>
      </w:r>
    </w:p>
    <w:p>
      <w:pPr>
        <w:keepLines/>
      </w:pPr>
      <w:r>
        <w:t>TheOther.Space 2.0은 일할 환경의 문턱을 낮춥니다. 장비와 장소의 제약을 줄입니다.</w:t>
      </w:r>
    </w:p>
    <w:p>
      <w:pPr>
        <w:keepLines/>
      </w:pPr>
      <w:r>
        <w:t>TheOther.Town은 AI 활용의 문턱을 낮춥니다. iStation과 TStation으로 모델과 비용 관리, GPU와 개발환경을 연결합니다.</w:t>
      </w:r>
    </w:p>
    <w:p>
      <w:pPr>
        <w:keepLines/>
      </w:pPr>
      <w:r>
        <w:t>Kstory.ai는 창작의 문턱을 낮춥니다. 내 이야기를 만들며 AI를 직접 경험합니다.</w:t>
      </w:r>
    </w:p>
    <w:p>
      <w:pPr>
        <w:keepLines/>
      </w:pPr>
      <w:r>
        <w:t>일하고, 배우고, 만드는 세 가지 경험입니다. 모습은 달라도 질문은 하나입니다. 기술을 어떻게 더 많이 팔 것인가가 아니라, 더 많은 사람의 시작을 어떻게 앞당길 것인가.</w:t>
      </w:r>
    </w:p>
    <w:p>
      <w:pPr>
        <w:keepLines/>
      </w:pPr>
      <w:r>
        <w:rPr>
          <w:b/>
          <w:color w:val="13314C"/>
        </w:rPr>
        <w:t>이제 각 서비스의 답을 말씀드리겠습니다.</w:t>
      </w:r>
    </w:p>
    <w:p>
      <w:pPr>
        <w:pStyle w:val="Meta"/>
        <w:pageBreakBefore/>
      </w:pPr>
      <w:r>
        <w:t>06 / 16    1분 25초    |    06:30–07:55</w:t>
      </w:r>
    </w:p>
    <w:p>
      <w:pPr>
        <w:pStyle w:val="Heading1"/>
      </w:pPr>
      <w:r>
        <w:t>TheOther.Space 2.0 — PC를 준비하는 시간을, 업무로 돌려드립니다</w:t>
      </w:r>
    </w:p>
    <w:p>
      <w:pPr>
        <w:keepNext/>
        <w:spacing w:line="380" w:lineRule="exact" w:before="100" w:after="240"/>
        <w:shd w:fill="EAF3F4"/>
        <w:ind w:left="130" w:right="130"/>
      </w:pPr>
      <w:r>
        <w:rPr>
          <w:b/>
          <w:color w:val="007F83"/>
          <w:sz w:val="25"/>
        </w:rPr>
        <w:t>접속하는 순간, 그곳이 안전한 사무실이 됩니다.</w:t>
      </w:r>
    </w:p>
    <w:p>
      <w:pPr>
        <w:pStyle w:val="Cue"/>
      </w:pPr>
      <w:r>
        <w:t>진행 힌트  |  프로젝트 사례는 가상 상황임을 알리고, 업무 시작의 편의성으로 설명합니다.</w:t>
      </w:r>
    </w:p>
    <w:p>
      <w:pPr>
        <w:keepLines/>
      </w:pPr>
      <w:r>
        <w:t>먼저 TheOther.Space 2.0입니다. 기존 서비스 경험에 Dstation X 엔진을 더한 클라우드 데스크톱 서비스입니다. 쉽게 말씀드리면, 필요한 업무용 컴퓨터 환경을 클라우드에서 이용하는 것입니다.</w:t>
      </w:r>
    </w:p>
    <w:p>
      <w:pPr>
        <w:keepLines/>
      </w:pPr>
      <w:r>
        <w:t>한 기업에서 새로운 프로젝트를 시작한다고 가정해 보겠습니다. 참여하는 사람은 정해졌는데, PC를 마련하고 프로그램을 설치해야 합니다. 설정을 확인하고 보안정책도 적용해야 합니다. 프로젝트가 끝나면 장비를 다시 관리하는 일이 남습니다.</w:t>
      </w:r>
    </w:p>
    <w:p>
      <w:pPr>
        <w:keepLines/>
      </w:pPr>
      <w:r>
        <w:t>우리가 바꾸고 싶은 것은 이 준비 과정입니다. 필요한 사용자에게 업무환경을 제공하고, 프로그램과 보안정책을 중앙에서 관리하고, 인력과 프로젝트의 변화에 맞춰 자원을 조정하는 방식입니다.</w:t>
      </w:r>
    </w:p>
    <w:p>
      <w:pPr>
        <w:keepLines/>
      </w:pPr>
      <w:r>
        <w:t>사용자는 허용된 업무환경에 접속해 일을 하고, 관리자는 여러 사람의 환경을 중앙에서 관리합니다. 사용자에게는 장소와 장비의 제약을 줄이고, 조직에는 관리의 일관성을 제공하려는 것입니다.</w:t>
      </w:r>
    </w:p>
    <w:p>
      <w:pPr>
        <w:keepLines/>
      </w:pPr>
      <w:r>
        <w:t>중요한 것은 화면이 어디에 뜨느냐가 아닙니다. 새로운 업무가 생겼을 때 얼마나 편리하게 시작할 수 있느냐입니다.</w:t>
      </w:r>
    </w:p>
    <w:p>
      <w:pPr>
        <w:keepLines/>
      </w:pPr>
      <w:r>
        <w:rPr>
          <w:b/>
          <w:color w:val="13314C"/>
        </w:rPr>
        <w:t>PC를 준비하는 시간을 업무로 돌려드리는 것. TheOther.Space 2.0이 제공하려는 가치는 바로 여기에 있습니다.</w:t>
      </w:r>
    </w:p>
    <w:p>
      <w:pPr>
        <w:pStyle w:val="Meta"/>
        <w:pageBreakBefore/>
      </w:pPr>
      <w:r>
        <w:t>07 / 16    1분 55초    |    07:55–09:50</w:t>
      </w:r>
    </w:p>
    <w:p>
      <w:pPr>
        <w:pStyle w:val="Heading1"/>
      </w:pPr>
      <w:r>
        <w:t>TheOther.Town — AI 모델은 늘었는데, 왜 사용은 더 복잡해졌을까요?</w:t>
      </w:r>
    </w:p>
    <w:p>
      <w:pPr>
        <w:keepNext/>
        <w:spacing w:line="380" w:lineRule="exact" w:before="100" w:after="240"/>
        <w:shd w:fill="EAF3F4"/>
        <w:ind w:left="130" w:right="130"/>
      </w:pPr>
      <w:r>
        <w:rPr>
          <w:b/>
          <w:color w:val="007F83"/>
          <w:sz w:val="25"/>
        </w:rPr>
        <w:t>모델은 자유롭게, 토큰·데이터·비용은 통제되게.</w:t>
      </w:r>
    </w:p>
    <w:p>
      <w:pPr>
        <w:pStyle w:val="Cue"/>
      </w:pPr>
      <w:r>
        <w:t>진행 힌트  |  iStation은 AI 활용·통제, TStation은 개발·실습이라는 두 역할을 구분합니다.</w:t>
      </w:r>
    </w:p>
    <w:p>
      <w:pPr>
        <w:keepLines/>
      </w:pPr>
      <w:r>
        <w:t>두 번째는 TheOther.Town입니다. AI 모델은 다양해졌는데, 조직에서 사용하려면 관리할 일도 많아집니다. 어떤 모델을 쓸지, 내부문서를 어디까지 활용할지, 사용량과 비용은 어떻게 관리할지 결정해야 합니다.</w:t>
      </w:r>
    </w:p>
    <w:p>
      <w:pPr>
        <w:keepLines/>
      </w:pPr>
      <w:r>
        <w:t>TheOther.Town은 이 문제를 AI 활용과 통제, AI 개발과 실습이라는 두 축으로 풀어갑니다. 그 중심이 iStation과 TStation입니다.</w:t>
      </w:r>
    </w:p>
    <w:p>
      <w:pPr>
        <w:keepLines/>
      </w:pPr>
      <w:r>
        <w:t>먼저 iStation입니다. 여러 AI 모델을 선택해 활용하면서 사용자와 조직의 사용량을 함께 관리하는 환경입니다. 업무에 적합한 모델을 선택하고, 어떤 모델에 얼마나 비용이 쓰이는지 파악하는 구조를 지향합니다.</w:t>
      </w:r>
    </w:p>
    <w:p>
      <w:pPr>
        <w:keepLines/>
      </w:pPr>
      <w:r>
        <w:t>토큰 관리는 사용을 막기 위한 기능이 아닙니다. 이용 현황을 알아야 필요한 곳에 예산을 배분하고, AI를 지속적으로 활용할 수 있기 때문입니다.</w:t>
      </w:r>
    </w:p>
    <w:p>
      <w:pPr>
        <w:keepLines/>
      </w:pPr>
      <w:r>
        <w:t>또 하나는 내부문서 활용입니다. RAG는 질문과 관련된 문서를 찾아 그 내용을 바탕으로 답하도록 연결하는 방식입니다. iStation은 문서 접근권한과 답변의 근거, 외부 AI와 내부 AI의 선택을 함께 관리하는 방향을 담고 있습니다.</w:t>
      </w:r>
    </w:p>
    <w:p>
      <w:pPr>
        <w:keepLines/>
      </w:pPr>
      <w:r>
        <w:t>다음은 TStation입니다. AI를 개발하고 실습할 사람에게 GPU 자원과 독립된 작업공간, Jupyter와 VS Code 같은 개발도구를 제공합니다. 환경을 준비하는 부담을 줄여 과제와 개발에 집중하도록 하는 역할입니다.</w:t>
      </w:r>
    </w:p>
    <w:p>
      <w:pPr>
        <w:keepLines/>
      </w:pPr>
      <w:r>
        <w:t>iStation은 활용과 통제, TStation은 개발과 실습. 이를 서비스로 연결하는 것이 TheOther.Town입니다.</w:t>
      </w:r>
    </w:p>
    <w:p>
      <w:pPr>
        <w:keepLines/>
      </w:pPr>
      <w:r>
        <w:rPr>
          <w:b/>
          <w:color w:val="13314C"/>
        </w:rPr>
        <w:t>모델은 자유롭게, 토큰과 데이터와 비용은 통제되게. GPU의 사양표를 넘어, AI를 지속해서 사용할 환경을 제공하려는 것입니다.</w:t>
      </w:r>
    </w:p>
    <w:p>
      <w:pPr>
        <w:pStyle w:val="Review"/>
        <w:spacing w:before="180"/>
      </w:pPr>
      <w:r>
        <w:t>검토 메모  |  출시 제공 범위·연동 모델·요금 및 예산 정책은 실제 사양·계약 기준으로 확인합니다. 무료·무제한을 의미하지 않습니다.</w:t>
      </w:r>
    </w:p>
    <w:p>
      <w:pPr>
        <w:pStyle w:val="Meta"/>
        <w:pageBreakBefore/>
      </w:pPr>
      <w:r>
        <w:t>08 / 16    1분 10초    |    09:50–11:00</w:t>
      </w:r>
    </w:p>
    <w:p>
      <w:pPr>
        <w:pStyle w:val="Heading1"/>
      </w:pPr>
      <w:r>
        <w:t>설명자료를 벗어나, 강의실에서 증명하다</w:t>
      </w:r>
    </w:p>
    <w:p>
      <w:pPr>
        <w:keepNext/>
        <w:spacing w:line="380" w:lineRule="exact" w:before="100" w:after="240"/>
        <w:shd w:fill="EAF3F4"/>
        <w:ind w:left="130" w:right="130"/>
      </w:pPr>
      <w:r>
        <w:rPr>
          <w:b/>
          <w:color w:val="007F83"/>
          <w:sz w:val="25"/>
        </w:rPr>
        <w:t>기술의 진짜 성능은 벤치마크가 아니라, 수업이 멈추지 않는 데서 드러납니다.</w:t>
      </w:r>
    </w:p>
    <w:p>
      <w:pPr>
        <w:pStyle w:val="Cue"/>
      </w:pPr>
      <w:r>
        <w:t>진행 힌트  |  대학의 활용 사실과 앞으로 넓혀갈 기능을 구분하고, 무중단 실적으로 단정하지 않습니다.</w:t>
      </w:r>
    </w:p>
    <w:p>
      <w:pPr>
        <w:keepLines/>
      </w:pPr>
      <w:r>
        <w:t>이제 실제 활용 현장을 말씀드리겠습니다. TheOther.Town은 서강대학교의 중국인 유학생 대상 AI 실습에 활용되고 있으며, 백석대학교와 상명대학교에서도 활용되고 있습니다.</w:t>
      </w:r>
    </w:p>
    <w:p>
      <w:pPr>
        <w:keepLines/>
      </w:pPr>
      <w:r>
        <w:t>이름을 나열하는 것보다 중요한 것은, 이 환경이 실제 교육에서 어떤 역할을 하느냐입니다.</w:t>
      </w:r>
    </w:p>
    <w:p>
      <w:pPr>
        <w:keepLines/>
      </w:pPr>
      <w:r>
        <w:t>학생에게는 과제를 수행할 환경이, 교수에게는 수업을 운영할 환경이 필요합니다. 대학에는 자원과 사용량을 관리하며 교육을 지속할 기반이 필요합니다.</w:t>
      </w:r>
    </w:p>
    <w:p>
      <w:pPr>
        <w:keepLines/>
      </w:pPr>
      <w:r>
        <w:t>그래서 앞으로의 확장에서도 개발환경만 보지 않겠습니다. iStation을 활용한 여러 AI 모델의 이용과 토큰 관리, 내부문서 활용까지 교육의 목적에 맞게 연결해 가겠습니다. 실제 적용 범위는 대학마다 다릅니다. 현장의 요구를 반영하며 확장하겠습니다.</w:t>
      </w:r>
    </w:p>
    <w:p>
      <w:pPr>
        <w:keepLines/>
      </w:pPr>
      <w:r>
        <w:rPr>
          <w:b/>
          <w:color w:val="13314C"/>
        </w:rPr>
        <w:t>성능 수치도 중요합니다. 그러나 교육 현장의 가치는 그 기술로 수업과 프로젝트를 얼마나 잘 운영하느냐에 있습니다. 대학에 GPU를 제공하는 데서 끝나지 않고, AI 교육을 계속할 수 있는 환경을 만들겠습니다.</w:t>
      </w:r>
    </w:p>
    <w:p>
      <w:pPr>
        <w:pStyle w:val="Review"/>
        <w:spacing w:before="180"/>
      </w:pPr>
      <w:r>
        <w:t>검토 메모  |  확인된 활용 현황은 서강대 중국인 유학생 대상 AI 실습, 백석대·상명대 활용입니다. 세부 기능의 일괄 적용이나 무중단 실적을 주장하지 않습니다.</w:t>
      </w:r>
    </w:p>
    <w:p>
      <w:pPr>
        <w:pStyle w:val="Meta"/>
        <w:pageBreakBefore/>
      </w:pPr>
      <w:r>
        <w:t>09 / 16    1분 5초    |    11:00–12:05</w:t>
      </w:r>
    </w:p>
    <w:p>
      <w:pPr>
        <w:pStyle w:val="Heading1"/>
      </w:pPr>
      <w:r>
        <w:t>Kstory.ai — AI로 책을 만드는 진짜 이유</w:t>
      </w:r>
    </w:p>
    <w:p>
      <w:pPr>
        <w:keepNext/>
        <w:spacing w:line="380" w:lineRule="exact" w:before="100" w:after="240"/>
        <w:shd w:fill="EAF3F4"/>
        <w:ind w:left="130" w:right="130"/>
      </w:pPr>
      <w:r>
        <w:rPr>
          <w:b/>
          <w:color w:val="007F83"/>
          <w:sz w:val="25"/>
        </w:rPr>
        <w:t>책을 대신하는 AI가 아니라, 책을 펼치게 하는 AI입니다.</w:t>
      </w:r>
    </w:p>
    <w:p>
      <w:pPr>
        <w:pStyle w:val="Cue"/>
      </w:pPr>
      <w:r>
        <w:t>진행 힌트  |  기술 설명에서 사람의 이야기로 분위기를 전환합니다.</w:t>
      </w:r>
    </w:p>
    <w:p>
      <w:pPr>
        <w:keepLines/>
      </w:pPr>
      <w:r>
        <w:t>지금까지는 일하고 배우는 환경을 말씀드렸습니다. 이제 그 기술로 무엇을 경험할지 이야기해 보겠습니다.</w:t>
      </w:r>
    </w:p>
    <w:p>
      <w:pPr>
        <w:keepLines/>
      </w:pPr>
      <w:r>
        <w:t>Kstory.ai를 준비하며 먼저 고민한 것은 AI가 얼마나 빨리 책을 만들 수 있느냐가 아니었습니다. 사람들이 왜 책을 펼치지 못하는지, 왜 AI를 시작하기 어려워하는지였습니다.</w:t>
      </w:r>
    </w:p>
    <w:p>
      <w:pPr>
        <w:keepLines/>
      </w:pPr>
      <w:r>
        <w:t>책에 관심이 없는 아이도 있고, 글자가 어렵거나 언어가 달라 참여하지 못하는 아이도 있습니다. 무엇부터 할지 막막해 AI를 써보지 못한 어른도 있습니다.</w:t>
      </w:r>
    </w:p>
    <w:p>
      <w:pPr>
        <w:keepLines/>
      </w:pPr>
      <w:r>
        <w:t>그런데 이야기 속에 내가 좋아하는 동물과 우리 가족, 내가 다녀온 장소가 등장한다면 어떨까요? 다른 사람의 이야기가 나와 관련된 이야기로 바뀝니다. 첫 장을 펼칠 이유를 만들어 줄 수 있습니다.</w:t>
      </w:r>
    </w:p>
    <w:p>
      <w:pPr>
        <w:keepLines/>
      </w:pPr>
      <w:r>
        <w:t>AI가 독서를 대신하게 하려는 것이 아닙니다. 만드는 경험을 통해 다시 읽기로 돌아오게 하려는 것입니다. AI를 처음 써보는 친근한 계기가 될 수도 있습니다.</w:t>
      </w:r>
    </w:p>
    <w:p>
      <w:pPr>
        <w:keepLines/>
      </w:pPr>
      <w:r>
        <w:rPr>
          <w:b/>
          <w:color w:val="13314C"/>
        </w:rPr>
        <w:t>책을 대신하는 AI가 아니라, 책을 펼치게 하는 AI. Kstory.ai가 동화책에서 출발한 이유입니다.</w:t>
      </w:r>
    </w:p>
    <w:p>
      <w:pPr>
        <w:pStyle w:val="Meta"/>
        <w:pageBreakBefore/>
      </w:pPr>
      <w:r>
        <w:t>10 / 16    1분 10초    |    12:05–13:15</w:t>
      </w:r>
    </w:p>
    <w:p>
      <w:pPr>
        <w:pStyle w:val="Heading1"/>
      </w:pPr>
      <w:r>
        <w:t>‘읽어라’보다 강한 말, ‘네 이야기야’</w:t>
      </w:r>
    </w:p>
    <w:p>
      <w:pPr>
        <w:keepNext/>
        <w:spacing w:line="380" w:lineRule="exact" w:before="100" w:after="240"/>
        <w:shd w:fill="EAF3F4"/>
        <w:ind w:left="130" w:right="130"/>
      </w:pPr>
      <w:r>
        <w:rPr>
          <w:b/>
          <w:color w:val="007F83"/>
          <w:sz w:val="25"/>
        </w:rPr>
        <w:t>나에게 맞는 이야기가, 첫 장의 문턱을 낮춥니다.</w:t>
      </w:r>
    </w:p>
    <w:p>
      <w:pPr>
        <w:pStyle w:val="Cue"/>
      </w:pPr>
      <w:r>
        <w:t>진행 힌트  |  관심사·수준·낭독·다국어를 하나씩 가리키며 설명합니다.</w:t>
      </w:r>
    </w:p>
    <w:p>
      <w:pPr>
        <w:keepLines/>
      </w:pPr>
      <w:r>
        <w:t>그 시작을 돕는 방법은 네 가지입니다.</w:t>
      </w:r>
    </w:p>
    <w:p>
      <w:pPr>
        <w:keepLines/>
      </w:pPr>
      <w:r>
        <w:t>첫 번째는 관심사입니다. 좋아하는 동물과 장소, 가족, 장래희망을 이야기 속에 넣습니다. 아이에게 책을 읽으라고 권하는 데서 나아가, 이건 네 이야기라고 말해줄 수 있도록 하는 것입니다.</w:t>
      </w:r>
    </w:p>
    <w:p>
      <w:pPr>
        <w:keepLines/>
      </w:pPr>
      <w:r>
        <w:t>두 번째는 읽기 수준입니다. 관심이 생겨도 문장이 너무 어렵다면 읽기 힘들 수 있습니다. 어휘와 문장 길이, 페이지 수를 맞춰 자신의 수준에서 시작하도록 돕습니다.</w:t>
      </w:r>
    </w:p>
    <w:p>
      <w:pPr>
        <w:keepLines/>
      </w:pPr>
      <w:r>
        <w:t>세 번째는 음성 낭독입니다. 글자가 아직 익숙하지 않은 어린이도 그림을 보고 이야기를 들으며 참여할 수 있도록 합니다. 혼자 읽기 어려워도 이야기에 닿도록 하는 것입니다.</w:t>
      </w:r>
    </w:p>
    <w:p>
      <w:pPr>
        <w:keepLines/>
      </w:pPr>
      <w:r>
        <w:t>네 번째는 다국어입니다. 한국어와 부모의 모국어로 같은 이야기를 나누면, 언어가 다른 가족도 함께 읽는 프로그램에 참여할 수 있습니다.</w:t>
      </w:r>
    </w:p>
    <w:p>
      <w:pPr>
        <w:keepLines/>
      </w:pPr>
      <w:r>
        <w:t>관심이 없어서, 읽기가 어려워서, 언어가 달라서 시작하지 못했던 사람에게 각기 다른 입구를 마련하려는 것입니다.</w:t>
      </w:r>
    </w:p>
    <w:p>
      <w:pPr>
        <w:keepLines/>
      </w:pPr>
      <w:r>
        <w:rPr>
          <w:b/>
          <w:color w:val="13314C"/>
        </w:rPr>
        <w:t>모두에게 같은 책을 권하는 것에서, 각자에게 맞는 시작을 제공하는 것으로 바꾸고자 합니다.</w:t>
      </w:r>
    </w:p>
    <w:p>
      <w:pPr>
        <w:pStyle w:val="Meta"/>
        <w:pageBreakBefore/>
      </w:pPr>
      <w:r>
        <w:t>11 / 16    1분 5초    |    13:15–14:20</w:t>
      </w:r>
    </w:p>
    <w:p>
      <w:pPr>
        <w:pStyle w:val="Heading1"/>
      </w:pPr>
      <w:r>
        <w:t>내가 만든 책은, 다시 읽게 됩니다</w:t>
      </w:r>
    </w:p>
    <w:p>
      <w:pPr>
        <w:keepNext/>
        <w:spacing w:line="380" w:lineRule="exact" w:before="100" w:after="240"/>
        <w:shd w:fill="EAF3F4"/>
        <w:ind w:left="130" w:right="130"/>
      </w:pPr>
      <w:r>
        <w:rPr>
          <w:b/>
          <w:color w:val="007F83"/>
          <w:sz w:val="25"/>
        </w:rPr>
        <w:t>만들다 보니 읽고, 읽다 보니 다시 만듭니다.</w:t>
      </w:r>
    </w:p>
    <w:p>
      <w:pPr>
        <w:pStyle w:val="Cue"/>
      </w:pPr>
      <w:r>
        <w:t>진행 힌트  |  순환 흐름을 따라 설명하고, 가상의 아이 대사는 짧게 말합니다.</w:t>
      </w:r>
    </w:p>
    <w:p>
      <w:pPr>
        <w:keepLines/>
      </w:pPr>
      <w:r>
        <w:t>여기서 이런 질문을 하실 수 있습니다. AI가 책을 만들어주면, 오히려 사람이 읽거나 생각할 일이 줄어드는 것 아닐까요?</w:t>
      </w:r>
    </w:p>
    <w:p>
      <w:pPr>
        <w:keepLines/>
      </w:pPr>
      <w:r>
        <w:t>그래서 만드는 과정에 주목합니다. 등장인물과 배경, 결말을 고르며 아이는 이야기를 받는 사람에서 만드는 사람이 됩니다.</w:t>
      </w:r>
    </w:p>
    <w:p>
      <w:pPr>
        <w:keepLines/>
      </w:pPr>
      <w:r>
        <w:t>예를 들어, 내가 고른 주인공이 어떤 말을 하는지 궁금해질 수 있습니다. 생각한 결말과 다르면 이 부분은 바꾸고 싶다고 말할 수도 있습니다. 그러려면 먼저 읽고 확인해야 합니다.</w:t>
      </w:r>
    </w:p>
    <w:p>
      <w:pPr>
        <w:keepLines/>
      </w:pPr>
      <w:r>
        <w:t>삽화를 고를 때도 그림이 내용과 어울리는지 살펴보며 다시 읽습니다. 완성된 뒤에는 자신이 선택한 내용이 어떻게 표현됐는지 확인하고 수정합니다.</w:t>
      </w:r>
    </w:p>
    <w:p>
      <w:pPr>
        <w:keepLines/>
      </w:pPr>
      <w:r>
        <w:t>이야기 만들기, 삽화 고르기, 완성된 책 읽기, 다시 만들기. 저희가 지향하는 것은 이 순환입니다. AI의 결과를 받는 데서 끝나지 않고, 사용자가 읽고 수정하는 과정에 참여하도록 돕는 것입니다.</w:t>
      </w:r>
    </w:p>
    <w:p>
      <w:pPr>
        <w:keepLines/>
      </w:pPr>
      <w:r>
        <w:rPr>
          <w:b/>
          <w:color w:val="13314C"/>
        </w:rPr>
        <w:t>책 한 권을 빠르게 생성하는 것보다, 그 책을 통해 한 번 더 읽고 생각하게 하는 것. 여기에 Kstory.ai의 가치를 두고 있습니다.</w:t>
      </w:r>
    </w:p>
    <w:p>
      <w:pPr>
        <w:pStyle w:val="Meta"/>
        <w:pageBreakBefore/>
      </w:pPr>
      <w:r>
        <w:t>12 / 16    1분 10초    |    14:20–15:30</w:t>
      </w:r>
    </w:p>
    <w:p>
      <w:pPr>
        <w:pStyle w:val="Heading1"/>
      </w:pPr>
      <w:r>
        <w:t>도서관이, 우리 가족의 창작실이 되는 순간</w:t>
      </w:r>
    </w:p>
    <w:p>
      <w:pPr>
        <w:keepNext/>
        <w:spacing w:line="380" w:lineRule="exact" w:before="100" w:after="240"/>
        <w:shd w:fill="EAF3F4"/>
        <w:ind w:left="130" w:right="130"/>
      </w:pPr>
      <w:r>
        <w:rPr>
          <w:b/>
          <w:color w:val="007F83"/>
          <w:sz w:val="25"/>
        </w:rPr>
        <w:t>책을 빌리러 오던 곳에, 책을 만들러 올 이유를 더합니다.</w:t>
      </w:r>
    </w:p>
    <w:p>
      <w:pPr>
        <w:pStyle w:val="Cue"/>
      </w:pPr>
      <w:r>
        <w:t>진행 힌트  |  가족의 경험을 떠올릴 수 있도록 부드러운 말투로 설명합니다.</w:t>
      </w:r>
    </w:p>
    <w:p>
      <w:pPr>
        <w:keepLines/>
      </w:pPr>
      <w:r>
        <w:t>가족이 함께하면 또 다른 이야기가 시작됩니다.</w:t>
      </w:r>
    </w:p>
    <w:p>
      <w:pPr>
        <w:keepLines/>
      </w:pPr>
      <w:r>
        <w:t>부모님의 어린 시절이나 할머니, 할아버지의 기억을 아이와 함께 이야기로 만든다고 생각해 보십시오. 아이는 그림을 고르고, 어른은 경험을 들려줍니다. 혼자 읽는 활동이 함께 만들고 함께 읽는 경험으로 넓어지는 것입니다.</w:t>
      </w:r>
    </w:p>
    <w:p>
      <w:pPr>
        <w:keepLines/>
      </w:pPr>
      <w:r>
        <w:t>완성된 작품은 디지털 책이나 PDF, 종이책으로 남길 수 있습니다. 지나가는 화면이 아니라 다시 꺼내보는 소장품으로 이어가고자 합니다.</w:t>
      </w:r>
    </w:p>
    <w:p>
      <w:pPr>
        <w:keepLines/>
      </w:pPr>
      <w:r>
        <w:t>도서관에서는 독서교실이나 방학 프로그램, 가족 독서, 학교 연계 활동에 결합할 수 있습니다. 책을 빌리러 오는 곳에 자신의 책을 만들러 오는 이유를 더하는 것입니다.</w:t>
      </w:r>
    </w:p>
    <w:p>
      <w:pPr>
        <w:keepLines/>
      </w:pPr>
      <w:r>
        <w:t>체험 이후의 연결도 중요합니다. 만든 이야기와 관련된 다른 책을 찾아보고, 대출해서 읽도록 프로그램을 설계할 수 있습니다. AI 체험으로 끝내지 않고 독서의 다음 행동을 만드는 것입니다.</w:t>
      </w:r>
    </w:p>
    <w:p>
      <w:pPr>
        <w:keepLines/>
      </w:pPr>
      <w:r>
        <w:rPr>
          <w:b/>
          <w:color w:val="13314C"/>
        </w:rPr>
        <w:t>AI가 재미있어서 참여하고, 이야기가 궁금해서 읽고, 다른 책까지 찾아보는 흐름. 도서관과 함께 만들어 가려는 경험입니다.</w:t>
      </w:r>
    </w:p>
    <w:p>
      <w:pPr>
        <w:pStyle w:val="Meta"/>
        <w:pageBreakBefore/>
      </w:pPr>
      <w:r>
        <w:t>13 / 16    1분 30초    |    15:30–17:00</w:t>
      </w:r>
    </w:p>
    <w:p>
      <w:pPr>
        <w:pStyle w:val="Heading1"/>
      </w:pPr>
      <w:r>
        <w:t>개인의 작품이, 기관의 교육 자산이 됩니다</w:t>
      </w:r>
    </w:p>
    <w:p>
      <w:pPr>
        <w:keepNext/>
        <w:spacing w:line="380" w:lineRule="exact" w:before="100" w:after="240"/>
        <w:shd w:fill="EAF3F4"/>
        <w:ind w:left="130" w:right="130"/>
      </w:pPr>
      <w:r>
        <w:rPr>
          <w:b/>
          <w:color w:val="007F83"/>
          <w:sz w:val="25"/>
        </w:rPr>
        <w:t>한 번의 체험을 넘어, 기관이 반복 운영하는 AI 교육 프로그램으로.</w:t>
      </w:r>
    </w:p>
    <w:p>
      <w:pPr>
        <w:pStyle w:val="Cue"/>
      </w:pPr>
      <w:r>
        <w:t>진행 힌트  |  도서관·학교·평생교육기관 순서로 설명하며 기대효과임을 명시합니다.</w:t>
      </w:r>
    </w:p>
    <w:p>
      <w:pPr>
        <w:keepLines/>
      </w:pPr>
      <w:r>
        <w:t>그렇다면 기관이 도입했을 때 어떤 변화를 기대할 수 있을까요? 도서관, 학교, 평생교육기관으로 나누어 보겠습니다.</w:t>
      </w:r>
    </w:p>
    <w:p>
      <w:pPr>
        <w:keepLines/>
      </w:pPr>
      <w:r>
        <w:t>도서관에는 새로운 방문 동기와 프로그램을 더할 수 있습니다. 창작 활동을 독서교실과 가족 프로그램에 연결하고, 음성과 다국어로 참여의 폭을 넓힐 수 있습니다. 지역의 장소와 사람, 가족의 기억을 기록하는 활동으로도 확장할 수 있습니다.</w:t>
      </w:r>
    </w:p>
    <w:p>
      <w:pPr>
        <w:keepLines/>
      </w:pPr>
      <w:r>
        <w:t>학교에서는 AI가 만든 결과를 그대로 제출하지 않고, 질문하고 선택하고 고치는 과정이 중요합니다. 왜 이 인물을 골랐는지, 어떤 문장을 바꿨는지, 친구의 의견을 어떻게 반영했는지 이야기하게 하는 것입니다. 읽기와 쓰기, 자기표현을 프로젝트 안에서 함께 다루는 활용 방식입니다.</w:t>
      </w:r>
    </w:p>
    <w:p>
      <w:pPr>
        <w:keepLines/>
      </w:pPr>
      <w:r>
        <w:t>앞으로는 이 과정이 성장 기록으로 남도록 고도화하고자 합니다. 완성된 작품뿐 아니라 초안과 수정, 성찰까지 학습의 자료가 되도록 하는 방향입니다.</w:t>
      </w:r>
    </w:p>
    <w:p>
      <w:pPr>
        <w:keepLines/>
      </w:pPr>
      <w:r>
        <w:t>평생교육기관에서는 시니어의 인생기록과 세대 연결에 활용할 수 있습니다. 도구 자체를 배우는 것보다, 내 삶의 이야기를 남기겠다는 목적에서 AI를 경험하도록 돕는 것입니다. 주민들의 기억은 지역의 문화 기록으로도 이어질 수 있습니다.</w:t>
      </w:r>
    </w:p>
    <w:p>
      <w:pPr>
        <w:keepLines/>
      </w:pPr>
      <w:r>
        <w:rPr>
          <w:b/>
          <w:color w:val="13314C"/>
        </w:rPr>
        <w:t>말씀드린 것은 측정된 성과가 아닌 기대효과입니다. 기관이 반복해서 운영하고 축적할 수 있는 교육 프로그램으로 발전시키겠습니다.</w:t>
      </w:r>
    </w:p>
    <w:p>
      <w:pPr>
        <w:pStyle w:val="Review"/>
        <w:spacing w:before="180"/>
      </w:pPr>
      <w:r>
        <w:t>검토 메모  |  기관 도입효과는 기대효과입니다. 성장 기록 등 고도화 방향을 현재 제공 기능과 구분했습니다.</w:t>
      </w:r>
    </w:p>
    <w:p>
      <w:pPr>
        <w:pStyle w:val="Meta"/>
        <w:pageBreakBefore/>
      </w:pPr>
      <w:r>
        <w:t>14 / 16    50초    |    17:00–17:50</w:t>
      </w:r>
    </w:p>
    <w:p>
      <w:pPr>
        <w:pStyle w:val="Heading1"/>
      </w:pPr>
      <w:r>
        <w:t>쉬운 AI 뒤에는, 보이지 않는 통제가 있습니다</w:t>
      </w:r>
    </w:p>
    <w:p>
      <w:pPr>
        <w:keepNext/>
        <w:spacing w:line="380" w:lineRule="exact" w:before="100" w:after="240"/>
        <w:shd w:fill="EAF3F4"/>
        <w:ind w:left="130" w:right="130"/>
      </w:pPr>
      <w:r>
        <w:rPr>
          <w:b/>
          <w:color w:val="007F83"/>
          <w:sz w:val="25"/>
        </w:rPr>
        <w:t>사용자는 자유롭게. 조직은 데이터·모델·토큰을 통제하게.</w:t>
      </w:r>
    </w:p>
    <w:p>
      <w:pPr>
        <w:pStyle w:val="Cue"/>
      </w:pPr>
      <w:r>
        <w:t>진행 힌트  |  모든 데이터의 외부 전송을 막는다고 단정하지 않고 권한·정책을 강조합니다.</w:t>
      </w:r>
    </w:p>
    <w:p>
      <w:pPr>
        <w:keepLines/>
      </w:pPr>
      <w:r>
        <w:t>서비스가 쉬워질수록, 그 뒤의 관리는 더 중요해집니다. 사용자는 구조를 몰라도 되지만, 조직은 접근권한과 사용량을 관리할 수 있어야 합니다.</w:t>
      </w:r>
    </w:p>
    <w:p>
      <w:pPr>
        <w:keepLines/>
      </w:pPr>
      <w:r>
        <w:t>TheOther.Space에서는 업무환경과 접속권한을, iStation에서는 AI 모델과 문서 접근권한, 토큰과 비용을 함께 관리하는 것이 중요합니다. Kstory.ai에서는 개인과 팀의 권한, 작품의 공유 범위와 토리 사용량이 중요합니다.</w:t>
      </w:r>
    </w:p>
    <w:p>
      <w:pPr>
        <w:keepLines/>
      </w:pPr>
      <w:r>
        <w:t>외부 AI에 보내는 정보와 내부에서 처리하는 정보의 경계도 구분해야 합니다. 편리하게 연결한다고 해서 모든 데이터를 같은 방식으로 다루어서는 안 됩니다.</w:t>
      </w:r>
    </w:p>
    <w:p>
      <w:pPr>
        <w:keepLines/>
      </w:pPr>
      <w:r>
        <w:rPr>
          <w:b/>
          <w:color w:val="13314C"/>
        </w:rPr>
        <w:t>사용자는 자유롭게, 조직은 필요한 통제를 유지하게. 단순한 화면 뒤의 신뢰까지 서비스의 일부로 생각하겠습니다.</w:t>
      </w:r>
    </w:p>
    <w:p>
      <w:pPr>
        <w:pStyle w:val="Meta"/>
        <w:pageBreakBefore/>
      </w:pPr>
      <w:r>
        <w:t>15 / 16    45초    |    17:50–18:35</w:t>
      </w:r>
    </w:p>
    <w:p>
      <w:pPr>
        <w:pStyle w:val="Heading1"/>
      </w:pPr>
      <w:r>
        <w:t>출시가 끝이라면, 서비스가 아닙니다</w:t>
      </w:r>
    </w:p>
    <w:p>
      <w:pPr>
        <w:keepNext/>
        <w:spacing w:line="380" w:lineRule="exact" w:before="100" w:after="240"/>
        <w:shd w:fill="EAF3F4"/>
        <w:ind w:left="130" w:right="130"/>
      </w:pPr>
      <w:r>
        <w:rPr>
          <w:b/>
          <w:color w:val="007F83"/>
          <w:sz w:val="25"/>
        </w:rPr>
        <w:t>출시는 오늘의 약속입니다. 개선은 매일의 증명입니다.</w:t>
      </w:r>
    </w:p>
    <w:p>
      <w:pPr>
        <w:pStyle w:val="Cue"/>
      </w:pPr>
      <w:r>
        <w:t>진행 힌트  |  일정이나 수치 목표 대신 실행 순서와 약속을 또렷하게 전달합니다.</w:t>
      </w:r>
    </w:p>
    <w:p>
      <w:pPr>
        <w:keepLines/>
      </w:pPr>
      <w:r>
        <w:t>오늘의 출시는 완성이 아니라 출발점입니다.</w:t>
      </w:r>
    </w:p>
    <w:p>
      <w:pPr>
        <w:keepLines/>
      </w:pPr>
      <w:r>
        <w:t>먼저 사용성과 성능, 운영체계를 안정시키겠습니다. 다음으로 기업·대학·기관의 업무와 교육에 맞는 운영 모델을 구체화하겠습니다.</w:t>
      </w:r>
    </w:p>
    <w:p>
      <w:pPr>
        <w:keepLines/>
      </w:pPr>
      <w:r>
        <w:t>그 위에서 모델 선택과 토큰 비용, GPU 자원 배분을 더 효율적으로 관리하도록 고도화하겠습니다. 대학과 도서관, 기업과 파트너의 협력을 넓히고 해외시장 확장도 추진하겠습니다.</w:t>
      </w:r>
    </w:p>
    <w:p>
      <w:pPr>
        <w:keepLines/>
      </w:pPr>
      <w:r>
        <w:t>중요한 것은 발표한 기능의 개수가 아닙니다. 사용자가 어디에서 불편을 느꼈고, 그것을 어떻게 바꾸었느냐입니다.</w:t>
      </w:r>
    </w:p>
    <w:p>
      <w:pPr>
        <w:keepLines/>
      </w:pPr>
      <w:r>
        <w:rPr>
          <w:b/>
          <w:color w:val="13314C"/>
        </w:rPr>
        <w:t>현장에서 듣고, 실제 사용으로 검증하고, 다시 서비스에 반영하겠습니다. 출시는 오늘의 약속입니다. 개선은 매일의 증명입니다.</w:t>
      </w:r>
    </w:p>
    <w:p>
      <w:pPr>
        <w:pStyle w:val="Meta"/>
        <w:pageBreakBefore/>
      </w:pPr>
      <w:r>
        <w:t>16 / 16    1분 25초    |    18:35–20:00</w:t>
      </w:r>
    </w:p>
    <w:p>
      <w:pPr>
        <w:pStyle w:val="Heading1"/>
      </w:pPr>
      <w:r>
        <w:t>AI가 일하고, 누구나 창작하는 다음 세상</w:t>
      </w:r>
    </w:p>
    <w:p>
      <w:pPr>
        <w:keepNext/>
        <w:spacing w:line="380" w:lineRule="exact" w:before="100" w:after="240"/>
        <w:shd w:fill="EAF3F4"/>
        <w:ind w:left="130" w:right="130"/>
      </w:pPr>
      <w:r>
        <w:rPr>
          <w:b/>
          <w:color w:val="007F83"/>
          <w:sz w:val="25"/>
        </w:rPr>
        <w:t>AI의 일터를 열고, AI 개발의 전 과정을 연결하고, 사람의 창작 가능성을 넓힙니다.</w:t>
      </w:r>
    </w:p>
    <w:p>
      <w:pPr>
        <w:pStyle w:val="Cue"/>
      </w:pPr>
      <w:r>
        <w:t>진행 힌트  |  중장기 방향임을 먼저 밝힙니다. 마지막 핵심 문장 앞에서 한 박자 쉬고 마무리합니다.</w:t>
      </w:r>
    </w:p>
    <w:p>
      <w:pPr>
        <w:keepLines/>
      </w:pPr>
      <w:r>
        <w:t>마지막으로 세 서비스의 다음 방향입니다. 지금부터는 현재 기능이 아니라 중장기 발전 방향을 말씀드리겠습니다.</w:t>
      </w:r>
    </w:p>
    <w:p>
      <w:pPr>
        <w:keepLines/>
      </w:pPr>
      <w:r>
        <w:t>TheOther.Space는 사람의 업무공간을 넘어, AI 에이전트가 24시간 안전하게 일할 공간으로 발전시키고자 합니다. 독립된 환경과 권한을 두고, 작업기록을 남기며, 중요한 일은 사람이 승인하는 구조입니다. AI에게 일을 맡겨도 통제는 놓치지 않겠다는 방향입니다.</w:t>
      </w:r>
    </w:p>
    <w:p>
      <w:pPr>
        <w:keepLines/>
      </w:pPr>
      <w:r>
        <w:t>TheOther.Town은 AI 실습에서 개발과 운영의 전 과정으로 넓혀가겠습니다. iStation의 모델·데이터·비용 관리와 TStation의 GPU·개발환경을 연결해, 개발과 테스트, 배포까지 지원하는 플랫폼을 지향합니다.</w:t>
      </w:r>
    </w:p>
    <w:p>
      <w:pPr>
        <w:keepLines/>
      </w:pPr>
      <w:r>
        <w:t>Kstory.ai는 동화책에서 시작하지만 동화책에 머물지 않겠습니다. 수필과 소설, 시와 음악까지, 자신의 경험과 생각을 표현하는 영역을 넓혀가겠습니다.</w:t>
      </w:r>
    </w:p>
    <w:p>
      <w:pPr>
        <w:keepLines/>
      </w:pPr>
      <w:r>
        <w:t>모습은 달라도 방향은 같습니다. 더 많은 사람이 자신이 하고 싶은 일을 시작하게 하는 것입니다.</w:t>
      </w:r>
    </w:p>
    <w:p>
      <w:pPr>
        <w:keepLines/>
      </w:pPr>
      <w:r>
        <w:t>틸론은 기술을 잘 만드는 것에서 멈추지 않겠습니다. 더 많은 사람이 사용하는 서비스로 완성하겠습니다.</w:t>
      </w:r>
    </w:p>
    <w:p>
      <w:pPr>
        <w:keepLines/>
      </w:pPr>
      <w:r>
        <w:rPr>
          <w:b/>
          <w:color w:val="13314C"/>
        </w:rPr>
        <w:t>증명한 기술을, 모두가 누리는 서비스로. TheOtherDay 2026, 틸론이 시작하는 다음 걸음입니다. 감사합니다.</w:t>
      </w:r>
    </w:p>
    <w:p>
      <w:pPr>
        <w:pStyle w:val="Review"/>
        <w:spacing w:before="180"/>
      </w:pPr>
      <w:r>
        <w:t>검토 메모  |  현재 제공 기능이 아닌 중장기 발전 방향입니다. 최종 클로징을 이 장에 포함했습니다.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발표자용 원고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spacing w:after="80"/>
      <w:pBdr>
        <w:bottom w:val="single" w:sz="5" w:color="DCE5E9"/>
      </w:pBdr>
    </w:pPr>
    <w:r>
      <w:t>TILON  /  THEOTHERDAY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420" w:lineRule="exact" w:after="160"/>
    </w:pPr>
    <w:rPr>
      <w:rFonts w:ascii="Noto Sans CJK KR" w:hAnsi="Noto Sans CJK KR" w:eastAsia="Noto Sans CJK KR" w:cs="Noto Sans CJK KR"/>
      <w:b w:val="0"/>
      <w:color w:val="172A3A"/>
      <w:sz w:val="27"/>
      <w:lang w:eastAsia="ko-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60" w:line="580" w:lineRule="exact"/>
      <w:outlineLvl w:val="0"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bCs/>
      <w:color w:val="13314C"/>
      <w:sz w:val="42"/>
      <w:szCs w:val="28"/>
      <w:lang w:eastAsia="ko-K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bCs/>
      <w:color w:val="007F83"/>
      <w:sz w:val="24"/>
      <w:szCs w:val="26"/>
      <w:lang w:eastAsia="ko-K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color w:val="13314C"/>
      <w:spacing w:val="5"/>
      <w:kern w:val="28"/>
      <w:sz w:val="64"/>
      <w:szCs w:val="52"/>
      <w:lang w:eastAsia="ko-K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 w:cs="Noto Sans CJK KR"/>
      <w:b w:val="0"/>
      <w:i/>
      <w:iCs/>
      <w:color w:val="5E6D79"/>
      <w:spacing w:val="15"/>
      <w:sz w:val="3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pPr>
      <w:keepNext/>
      <w:spacing w:line="280" w:lineRule="exact" w:after="140"/>
    </w:pPr>
    <w:rPr>
      <w:rFonts w:ascii="Noto Sans CJK KR" w:hAnsi="Noto Sans CJK KR" w:eastAsia="Noto Sans CJK KR" w:cs="Noto Sans CJK KR"/>
      <w:b/>
      <w:color w:val="007F83"/>
      <w:sz w:val="20"/>
      <w:lang w:eastAsia="ko-KR"/>
    </w:rPr>
  </w:style>
  <w:style w:type="paragraph" w:customStyle="1" w:styleId="Cue">
    <w:name w:val="Cue"/>
    <w:pPr>
      <w:spacing w:line="280" w:lineRule="exact" w:after="140"/>
    </w:pPr>
    <w:rPr>
      <w:rFonts w:ascii="Noto Sans CJK KR" w:hAnsi="Noto Sans CJK KR" w:eastAsia="Noto Sans CJK KR" w:cs="Noto Sans CJK KR"/>
      <w:b w:val="0"/>
      <w:color w:val="5E6D79"/>
      <w:sz w:val="19"/>
      <w:lang w:eastAsia="ko-KR"/>
    </w:rPr>
  </w:style>
  <w:style w:type="paragraph" w:customStyle="1" w:styleId="Review">
    <w:name w:val="Review"/>
    <w:pPr>
      <w:spacing w:line="280" w:lineRule="exact" w:after="140"/>
    </w:pPr>
    <w:rPr>
      <w:rFonts w:ascii="Noto Sans CJK KR" w:hAnsi="Noto Sans CJK KR" w:eastAsia="Noto Sans CJK KR" w:cs="Noto Sans CJK KR"/>
      <w:b w:val="0"/>
      <w:color w:val="5E6D79"/>
      <w:sz w:val="17"/>
      <w:lang w:eastAsia="ko-KR"/>
    </w:rPr>
  </w:style>
  <w:style w:type="paragraph" w:customStyle="1" w:styleId="Small">
    <w:name w:val="Small"/>
    <w:pPr>
      <w:spacing w:line="280" w:lineRule="exact" w:after="140"/>
    </w:pPr>
    <w:rPr>
      <w:rFonts w:ascii="Noto Sans CJK KR" w:hAnsi="Noto Sans CJK KR" w:eastAsia="Noto Sans CJK KR" w:cs="Noto Sans CJK KR"/>
      <w:b w:val="0"/>
      <w:color w:val="5E6D79"/>
      <w:sz w:val="20"/>
      <w:lang w:eastAsia="ko-KR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TheOtherDay 2026 페이지별 발표 멘트</dc:title>
  <dc:subject>16개 장표 · 20분 발표자용 원고</dc:subject>
  <dc:creator/>
  <cp:keywords>TheOtherDay 2026, TheOther.Space 2.0, TheOther.Town, iStation, Kstory.ai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