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sz w:val="32"/>
        </w:rPr>
        <w:t>YONTEM</w:t>
      </w:r>
    </w:p>
    <w:p>
      <w:pPr>
        <w:jc w:val="center"/>
      </w:pPr>
      <w:r>
        <w:rPr>
          <w:rFonts w:ascii="Calibri" w:hAnsi="Calibri"/>
          <w:b w:val="0"/>
          <w:i/>
          <w:sz w:val="22"/>
        </w:rPr>
        <w:t>PROBIOCOLIC-2026-01 | Versiyon 2.0 | Mayis 2026</w:t>
      </w:r>
    </w:p>
    <w:p/>
    <w:p>
      <w:pPr>
        <w:pStyle w:val="Heading1"/>
      </w:pPr>
      <w:r>
        <w:rPr>
          <w:rFonts w:ascii="Calibri" w:hAnsi="Calibri"/>
        </w:rPr>
        <w:t>1. Arastirma Tasarimi</w:t>
      </w:r>
    </w:p>
    <w:p>
      <w:pPr>
        <w:pStyle w:val="ListBullet"/>
      </w:pPr>
      <w:r>
        <w:rPr>
          <w:rFonts w:ascii="Calibri" w:hAnsi="Calibri"/>
          <w:sz w:val="22"/>
        </w:rPr>
        <w:t>Tipi: Randomize, cift kor, plasebo kontrollu, paralel gruplu, COK MERKEZLI (4 merkez), prospektif klinik arastirma.</w:t>
      </w:r>
    </w:p>
    <w:p>
      <w:pPr>
        <w:pStyle w:val="ListBullet"/>
      </w:pPr>
      <w:r>
        <w:rPr>
          <w:rFonts w:ascii="Calibri" w:hAnsi="Calibri"/>
          <w:sz w:val="22"/>
        </w:rPr>
        <w:t>Ustunluk (superiority) tasarimi: Probiyotik grubunun plasebodan daha etkili oldugunu gostermek.</w:t>
      </w:r>
    </w:p>
    <w:p>
      <w:pPr>
        <w:pStyle w:val="ListBullet"/>
      </w:pPr>
      <w:r>
        <w:rPr>
          <w:rFonts w:ascii="Calibri" w:hAnsi="Calibri"/>
          <w:sz w:val="22"/>
        </w:rPr>
        <w:t>Standart: ICH-GCP (Iyi Klinik Uygulamalar) kurallarina uygun.</w:t>
      </w:r>
    </w:p>
    <w:p>
      <w:pPr>
        <w:pStyle w:val="ListBullet"/>
      </w:pPr>
      <w:r>
        <w:rPr>
          <w:rFonts w:ascii="Calibri" w:hAnsi="Calibri"/>
          <w:sz w:val="22"/>
        </w:rPr>
        <w:t>CONSORT 2010 ve SPIRIT 2013 kilavuzlarina uygun raporlama.</w:t>
      </w:r>
    </w:p>
    <w:p>
      <w:pPr>
        <w:pStyle w:val="Heading1"/>
      </w:pPr>
      <w:r>
        <w:rPr>
          <w:rFonts w:ascii="Calibri" w:hAnsi="Calibri"/>
        </w:rPr>
        <w:t>2. Calisma Populasyonu ve Orneklem Buyuklugu</w:t>
      </w:r>
    </w:p>
    <w:p>
      <w:pPr>
        <w:pStyle w:val="ListBullet"/>
      </w:pPr>
      <w:r>
        <w:rPr>
          <w:rFonts w:ascii="Calibri" w:hAnsi="Calibri"/>
          <w:sz w:val="22"/>
        </w:rPr>
        <w:t>Hedef populasyon: Turkiye'de dogan, saglikli, miyadinda (&gt;=37 hafta) bebekler.</w:t>
      </w:r>
    </w:p>
    <w:p>
      <w:r>
        <w:rPr>
          <w:rFonts w:ascii="Calibri" w:hAnsi="Calibri"/>
          <w:b/>
          <w:i w:val="0"/>
          <w:sz w:val="22"/>
        </w:rPr>
        <w:t>Orneklem buyuklugu hesaplamasi:</w:t>
      </w:r>
    </w:p>
    <w:p>
      <w:pPr>
        <w:pStyle w:val="ListBullet"/>
      </w:pPr>
      <w:r>
        <w:rPr>
          <w:rFonts w:ascii="Calibri" w:hAnsi="Calibri"/>
          <w:sz w:val="22"/>
        </w:rPr>
        <w:t>Birincil sonlanim: Rome V kriterlerine gore Infant Distress Sendromu (IDS) gelisim sikligi.</w:t>
      </w:r>
    </w:p>
    <w:p>
      <w:pPr>
        <w:pStyle w:val="ListBullet"/>
      </w:pPr>
      <w:r>
        <w:rPr>
          <w:rFonts w:ascii="Calibri" w:hAnsi="Calibri"/>
          <w:sz w:val="22"/>
        </w:rPr>
        <w:t>Beklenen fark (Indrio ve ark. 2014'ten muhafazakar tahmin): Probiyotik grup %12, Plasebo grup %25; ARR %13.</w:t>
      </w:r>
    </w:p>
    <w:p>
      <w:pPr>
        <w:pStyle w:val="ListBullet"/>
      </w:pPr>
      <w:r>
        <w:rPr>
          <w:rFonts w:ascii="Calibri" w:hAnsi="Calibri"/>
          <w:sz w:val="22"/>
        </w:rPr>
        <w:t>Guc analizi (G*Power, alpha=0.05 cift yonlu, guc %90) -&gt; minimum grup basi ~121 olgu; cok merkezli heterojenite ve alt grup analizleri icin grup basi n=200 planlanmistir; %15 kayip payi ile son orneklem grup basi 200, toplam 400 olgudur.</w:t>
      </w:r>
    </w:p>
    <w:p>
      <w:pPr>
        <w:pStyle w:val="ListBullet"/>
      </w:pPr>
      <w:r>
        <w:rPr>
          <w:rFonts w:ascii="Calibri" w:hAnsi="Calibri"/>
          <w:sz w:val="22"/>
        </w:rPr>
        <w:t>Secim yontemi: Uygunluk kriterlerini karsilayan ve ebeveyn onami olan bebekler kronolojik sirayla alinir. Calismaya alim penceresi: yasamin ilk 28 gunu.</w:t>
      </w:r>
    </w:p>
    <w:p>
      <w:pPr>
        <w:pStyle w:val="Heading1"/>
      </w:pPr>
      <w:r>
        <w:rPr>
          <w:rFonts w:ascii="Calibri" w:hAnsi="Calibri"/>
        </w:rPr>
        <w:t>3. Calisma Merkezleri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Merkez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Koordinator Merkez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Saglik Bilimleri Universitesi Antalya Egitim ve Arastirma Hastanesi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Antalya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Katilimci Merkez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Saglik Bilimleri Universitesi Tepecik Egitim ve Arastirma Hastanesi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Izmir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Katilimci Merkez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Izmir Sehir Hastanesi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Izmir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Katilimci Merkez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Saglik Bilimleri Universitesi Sancaktepe Sehit Prof. Dr. Ilhan Varank Egitim ve Arastirma Hastanesi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Istanbul</w:t>
            </w:r>
          </w:p>
        </w:tc>
      </w:tr>
    </w:tbl>
    <w:p>
      <w:pPr>
        <w:pStyle w:val="Heading1"/>
      </w:pPr>
      <w:r>
        <w:rPr>
          <w:rFonts w:ascii="Calibri" w:hAnsi="Calibri"/>
        </w:rPr>
        <w:t>4. Randomizasyon ve Korleme</w:t>
      </w:r>
    </w:p>
    <w:p>
      <w:pPr>
        <w:pStyle w:val="ListBullet"/>
      </w:pPr>
      <w:r>
        <w:rPr>
          <w:rFonts w:ascii="Calibri" w:hAnsi="Calibri"/>
          <w:sz w:val="22"/>
        </w:rPr>
        <w:t>Randomizasyon: Permutasyonlu blok yontemi (blok buyuklugu 4 veya 6), 1:1 oraninda probiyotik/plasebo; IWRS ile tahsis gizlemesi.</w:t>
      </w:r>
    </w:p>
    <w:p>
      <w:pPr>
        <w:pStyle w:val="ListBullet"/>
      </w:pPr>
      <w:r>
        <w:rPr>
          <w:rFonts w:ascii="Calibri" w:hAnsi="Calibri"/>
          <w:sz w:val="22"/>
        </w:rPr>
        <w:t>Stratifikasyon: Merkez, beslenme tipi (anne sutu / formul / karisik), dogum sekli (vajinal / sezaryen).</w:t>
      </w:r>
    </w:p>
    <w:p>
      <w:pPr>
        <w:pStyle w:val="ListBullet"/>
      </w:pPr>
      <w:r>
        <w:rPr>
          <w:rFonts w:ascii="Calibri" w:hAnsi="Calibri"/>
          <w:sz w:val="22"/>
        </w:rPr>
        <w:t>Korleme: Cift kor - aileler, klinik ekip, veri analisti ve sonuc degerlendiriciler grup bilgisini bilmez.</w:t>
      </w:r>
    </w:p>
    <w:p>
      <w:pPr>
        <w:pStyle w:val="ListBullet"/>
      </w:pPr>
      <w:r>
        <w:rPr>
          <w:rFonts w:ascii="Calibri" w:hAnsi="Calibri"/>
          <w:sz w:val="22"/>
        </w:rPr>
        <w:t>Aktif ve plasebo urun gorunus, koku, tat, ambalaj olarak ayniidir.</w:t>
      </w:r>
    </w:p>
    <w:p>
      <w:pPr>
        <w:pStyle w:val="ListBullet"/>
      </w:pPr>
      <w:r>
        <w:rPr>
          <w:rFonts w:ascii="Calibri" w:hAnsi="Calibri"/>
          <w:sz w:val="22"/>
        </w:rPr>
        <w:t>Acil durumda kor acma icin hasta bazinda kodlu zarflar koordinator merkezde saklanir.</w:t>
      </w:r>
    </w:p>
    <w:p>
      <w:pPr>
        <w:pStyle w:val="Heading1"/>
      </w:pPr>
      <w:r>
        <w:rPr>
          <w:rFonts w:ascii="Calibri" w:hAnsi="Calibri"/>
        </w:rPr>
        <w:t>5. Mudahale ve Uygulama</w:t>
      </w:r>
    </w:p>
    <w:p>
      <w:pPr>
        <w:pStyle w:val="ListBullet"/>
      </w:pPr>
      <w:r>
        <w:rPr>
          <w:rFonts w:ascii="Calibri" w:hAnsi="Calibri"/>
          <w:sz w:val="22"/>
        </w:rPr>
        <w:t>Aktif urun: Lacticaseibacillus rhamnosus GG DSM 33156 + Bifidobacterium longum subsp. infantis DSM 33361 iceren yag suspansiyonu (Trubiotic Duo(R) Oildrops).</w:t>
      </w:r>
    </w:p>
    <w:p>
      <w:pPr>
        <w:pStyle w:val="ListBullet"/>
      </w:pPr>
      <w:r>
        <w:rPr>
          <w:rFonts w:ascii="Calibri" w:hAnsi="Calibri"/>
          <w:sz w:val="22"/>
        </w:rPr>
        <w:t>Doz: Gunde 6 damla (= 1x10^9 CFU her bir sus, toplam 2x10^9 CFU/gun).</w:t>
      </w:r>
    </w:p>
    <w:p>
      <w:pPr>
        <w:pStyle w:val="ListBullet"/>
      </w:pPr>
      <w:r>
        <w:rPr>
          <w:rFonts w:ascii="Calibri" w:hAnsi="Calibri"/>
          <w:sz w:val="22"/>
        </w:rPr>
        <w:t>Kontrol: Ayni gorunuste, aktif bilesen icermeyen yag suspansiyonu (zeytinyagi plasebo).</w:t>
      </w:r>
    </w:p>
    <w:p>
      <w:pPr>
        <w:pStyle w:val="ListBullet"/>
      </w:pPr>
      <w:r>
        <w:rPr>
          <w:rFonts w:ascii="Calibri" w:hAnsi="Calibri"/>
          <w:sz w:val="22"/>
        </w:rPr>
        <w:t>Uygulama zamani: Bebek yasamin ilk 28 gunu icinde calismaya alinir; 12 hafta (84 gun) boyunca gunde bir kez (tercihen sabah) dogrudan agizdan.</w:t>
      </w:r>
    </w:p>
    <w:p>
      <w:pPr>
        <w:pStyle w:val="ListBullet"/>
      </w:pPr>
      <w:r>
        <w:rPr>
          <w:rFonts w:ascii="Calibri" w:hAnsi="Calibri"/>
          <w:sz w:val="22"/>
        </w:rPr>
        <w:t>Uyum takibi: Aile gunlugu, haftalik telefon gorusmeleri.</w:t>
      </w:r>
    </w:p>
    <w:p>
      <w:pPr>
        <w:pStyle w:val="Heading1"/>
      </w:pPr>
      <w:r>
        <w:rPr>
          <w:rFonts w:ascii="Calibri" w:hAnsi="Calibri"/>
        </w:rPr>
        <w:t>6. Veri Toplama ve Olcumler (8 vizit: V0, Hf1, 4, 8, 12, 16, 20, 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Sonlanim Turu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Parametre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Olcme Araci / Yontem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Birincil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IDS insidansi (uluslararasi adi: infantile colic)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Rome V kriterleri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Ikincil - Mikrobiyota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Fekal mikrobiyota kompozisyonu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16S rRNA (V3-V4 bolgesi) sekanslama; alfa/beta cesitlilik, taksonomik analiz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Ikincil - Klinik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Gunluk aglama/sikinti suresi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Barr Gunlugu (ICD)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Regurjitasyon sikligi, diska kivami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Ebeveyn gunlugu, Amsterdam Diska Semasi (ABFS)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Ikincil - Buyume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Agirlik, boy, bas cevresi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Standart teknik, WHO egrileri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Ikincil - Enfeksiyon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USYE, gastroenterit vb. sikligi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Aile bildirimi, kayit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Ikincil - Guvenlik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Tum istenmeyen olaylar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MedDRA kodlama, siddet/iliski degerlendirmesi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Kesifsel (exploratory)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Ebeveyn depresyonu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Beck Depresyon Olcegi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Ebeveyn kaygi duzeyi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Durumluk-Sureklilik Kaygi Envanteri (STAI)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Atopik/alerjik hastaliklar (egzama, besin alerjisi)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Klinik takip</w:t>
            </w:r>
          </w:p>
        </w:tc>
      </w:tr>
    </w:tbl>
    <w:p>
      <w:pPr>
        <w:pStyle w:val="Heading1"/>
      </w:pPr>
      <w:r>
        <w:rPr>
          <w:rFonts w:ascii="Calibri" w:hAnsi="Calibri"/>
        </w:rPr>
        <w:t>7. Cok Merkezli Lojistik</w:t>
      </w:r>
    </w:p>
    <w:p>
      <w:pPr>
        <w:pStyle w:val="ListBullet"/>
      </w:pPr>
      <w:r>
        <w:rPr>
          <w:rFonts w:ascii="Calibri" w:hAnsi="Calibri"/>
          <w:sz w:val="22"/>
        </w:rPr>
        <w:t>Tum merkezler merkezi EDC sistemine baglanir; veriler koordinator merkezde toplanir.</w:t>
      </w:r>
    </w:p>
    <w:p>
      <w:pPr>
        <w:pStyle w:val="ListBullet"/>
      </w:pPr>
      <w:r>
        <w:rPr>
          <w:rFonts w:ascii="Calibri" w:hAnsi="Calibri"/>
          <w:sz w:val="22"/>
        </w:rPr>
        <w:t>Diska ornekleri her merkezde -80°C'de gecici saklama yapilir; soguk zincir kuriye ile merkezi laboratuvara (Turkiye, ISO 15189) periyodik gonderim yapilir.</w:t>
      </w:r>
    </w:p>
    <w:p>
      <w:pPr>
        <w:pStyle w:val="ListBullet"/>
      </w:pPr>
      <w:r>
        <w:rPr>
          <w:rFonts w:ascii="Calibri" w:hAnsi="Calibri"/>
          <w:sz w:val="22"/>
        </w:rPr>
        <w:t>SAE'ler 24 saat icinde koordinator merkeze, ulusal mevzuat surelerinde TITCK ve etik kurullara bildirilir.</w:t>
      </w:r>
    </w:p>
    <w:p>
      <w:pPr>
        <w:pStyle w:val="ListBullet"/>
      </w:pPr>
      <w:r>
        <w:rPr>
          <w:rFonts w:ascii="Calibri" w:hAnsi="Calibri"/>
          <w:sz w:val="22"/>
        </w:rPr>
        <w:t>Bagimsiz DSMB calismayi ara analizlerle izler.</w:t>
      </w:r>
    </w:p>
    <w:p>
      <w:pPr>
        <w:pStyle w:val="Heading1"/>
      </w:pPr>
      <w:r>
        <w:rPr>
          <w:rFonts w:ascii="Calibri" w:hAnsi="Calibri"/>
        </w:rPr>
        <w:t>8. Terminoloji Notu</w:t>
      </w:r>
    </w:p>
    <w:p>
      <w:r>
        <w:rPr>
          <w:rFonts w:ascii="Calibri" w:hAnsi="Calibri"/>
          <w:b w:val="0"/>
          <w:i w:val="0"/>
          <w:sz w:val="22"/>
        </w:rPr>
        <w:t>Bu calismada uluslararasi literaturde 'infantile colic' (Wessel 1954; Rome IV/V) olarak bilinen klinik durum, calismaya ozgu olarak 'Infant Distress Sendromu (IDS)' adi ile incelenmektedir. Tani ve takip Rome V kriterleri ile yapilacak; Rome V Pediatric Upper GI cercevesi Rosen ve ark., Gastroenterology 2026;170(6):1347-1366 sayisinda yayimlanmistir, infantil kolik tani kriterlerini iceren neonate/toddler companion makalesi Sorumlu Arastirmaci tarafindan calisma basvuru dosyasinin eki olarak sunulacaktir.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