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ÜLSERATİF KOLİT — POLİKLİNİK TAKİP FORMU</w:t>
      </w:r>
    </w:p>
    <w:p>
      <w:pPr>
        <w:jc w:val="center"/>
      </w:pPr>
      <w:r>
        <w:rPr>
          <w:i/>
          <w:color w:val="5B6B7A"/>
          <w:sz w:val="20"/>
        </w:rPr>
        <w:t>Gastroenteroloji / İç Hastalıkları Polikliniği — İBH İzlem Formu</w:t>
      </w:r>
    </w:p>
    <w:p>
      <w:pPr>
        <w:jc w:val="center"/>
      </w:pPr>
      <w:r>
        <w:rPr>
          <w:color w:val="5B6B7A"/>
          <w:sz w:val="16"/>
        </w:rPr>
        <w:t>Literatür temeli: ECCO Kılavuzları (Tanı/İzlem 2022, Tıbbi Tedavi 2022), STRIDE-II Treat-to-Target (2021), Mayo &amp; UCEIS aktivite skorları</w:t>
      </w:r>
    </w:p>
    <w:p>
      <w:pPr>
        <w:spacing w:before="200" w:after="80"/>
      </w:pPr>
      <w:r>
        <w:rPr>
          <w:b/>
          <w:color w:val="1F4E79"/>
          <w:sz w:val="26"/>
        </w:rPr>
        <w:t>1. HASTA KİMLİK VE ZİYARET BİLGİLERİ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60"/>
            </w:pPr>
            <w:r>
              <w:rPr>
                <w:sz w:val="20"/>
              </w:rPr>
              <w:t>Ad-Soyad / Protokol No:</w:t>
            </w:r>
          </w:p>
          <w:p>
            <w:pPr>
              <w:spacing w:after="60"/>
            </w:pPr>
            <w:r>
              <w:rPr>
                <w:sz w:val="20"/>
              </w:rPr>
              <w:t>Doğum tarihi / Yaş:</w:t>
            </w:r>
          </w:p>
          <w:p>
            <w:pPr>
              <w:spacing w:after="60"/>
            </w:pPr>
            <w:r>
              <w:rPr>
                <w:sz w:val="20"/>
              </w:rPr>
              <w:t>Cinsiyet:</w:t>
            </w:r>
          </w:p>
          <w:p>
            <w:pPr>
              <w:spacing w:after="60"/>
            </w:pPr>
            <w:r>
              <w:rPr>
                <w:sz w:val="20"/>
              </w:rPr>
              <w:t>Telefon:</w:t>
            </w:r>
          </w:p>
        </w:tc>
        <w:tc>
          <w:tcPr>
            <w:tcW w:type="dxa" w:w="5100"/>
          </w:tcPr>
          <w:p>
            <w:pPr>
              <w:spacing w:after="60"/>
            </w:pPr>
            <w:r>
              <w:rPr>
                <w:sz w:val="20"/>
              </w:rPr>
              <w:t>Ziyaret tarihi:</w:t>
            </w:r>
          </w:p>
          <w:p>
            <w:pPr>
              <w:spacing w:after="60"/>
            </w:pPr>
            <w:r>
              <w:rPr>
                <w:sz w:val="20"/>
              </w:rPr>
              <w:t>Ziyaret tipi:  ☐ Rutin  ☐ Alevlenme  ☐ Kontrol</w:t>
            </w:r>
          </w:p>
          <w:p>
            <w:pPr>
              <w:spacing w:after="60"/>
            </w:pPr>
            <w:r>
              <w:rPr>
                <w:sz w:val="20"/>
              </w:rPr>
              <w:t>Takip eden hekim:</w:t>
            </w:r>
          </w:p>
          <w:p>
            <w:pPr>
              <w:spacing w:after="60"/>
            </w:pPr>
            <w:r>
              <w:rPr>
                <w:sz w:val="20"/>
              </w:rPr>
              <w:t>Bir sonraki randevu:</w:t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2. TANI VE HASTALIK ÖZELLİKLERİ (Montreal Sınıflaması)</w:t>
      </w:r>
    </w:p>
    <w:p>
      <w:pPr>
        <w:spacing w:after="40"/>
      </w:pPr>
      <w:r>
        <w:rPr>
          <w:b/>
          <w:sz w:val="20"/>
        </w:rPr>
        <w:t xml:space="preserve">• Tanı tarihi / Hastalık süresi: </w:t>
      </w:r>
      <w:r>
        <w:rPr>
          <w:i/>
          <w:color w:val="5B6B7A"/>
          <w:sz w:val="18"/>
        </w:rPr>
        <w:t>[ yıl ]</w:t>
      </w:r>
    </w:p>
    <w:p>
      <w:pPr>
        <w:spacing w:after="40"/>
      </w:pPr>
      <w:r>
        <w:rPr>
          <w:b/>
          <w:sz w:val="20"/>
        </w:rPr>
        <w:t xml:space="preserve">• Tanı yöntemi: </w:t>
      </w:r>
      <w:r>
        <w:rPr>
          <w:i/>
          <w:color w:val="5B6B7A"/>
          <w:sz w:val="18"/>
        </w:rPr>
        <w:t>[ kolonoskopi + histopatoloji ]</w:t>
      </w:r>
    </w:p>
    <w:p>
      <w:r>
        <w:rPr>
          <w:b/>
        </w:rPr>
        <w:t>Yaygınlık (Montreal E):</w:t>
      </w:r>
    </w:p>
    <w:p>
      <w:pPr>
        <w:spacing w:after="40"/>
      </w:pPr>
      <w:r>
        <w:rPr>
          <w:sz w:val="20"/>
        </w:rPr>
        <w:t>☐ E1 – Proktit (rektum)</w:t>
      </w:r>
      <w:r>
        <w:rPr>
          <w:sz w:val="20"/>
        </w:rPr>
        <w:t xml:space="preserve">    </w:t>
      </w:r>
      <w:r>
        <w:rPr>
          <w:sz w:val="20"/>
        </w:rPr>
        <w:t>☐ E2 – Sol kolon (splenik fleksuraya dek)</w:t>
      </w:r>
      <w:r>
        <w:rPr>
          <w:sz w:val="20"/>
        </w:rPr>
        <w:t xml:space="preserve">    </w:t>
      </w:r>
      <w:r>
        <w:rPr>
          <w:sz w:val="20"/>
        </w:rPr>
        <w:t>☐ E3 – Yaygın / Pankolit</w:t>
      </w:r>
    </w:p>
    <w:p>
      <w:pPr>
        <w:spacing w:after="60"/>
      </w:pPr>
      <w:r>
        <w:rPr>
          <w:i/>
          <w:color w:val="5B6B7A"/>
          <w:sz w:val="17"/>
        </w:rPr>
        <w:t>E: hastalığın en geniş yayıldığı anatomik sınır (endoskopik). Yaygınlık; gözetim, tedavi yolu ve kolektomi riskini belirler (ECCO 2022).</w:t>
      </w:r>
    </w:p>
    <w:p>
      <w:r>
        <w:rPr>
          <w:b/>
        </w:rPr>
        <w:t>Şiddet (Montreal S — güncel/en yüksek):</w:t>
      </w:r>
    </w:p>
    <w:p>
      <w:pPr>
        <w:spacing w:after="40"/>
      </w:pPr>
      <w:r>
        <w:rPr>
          <w:sz w:val="20"/>
        </w:rPr>
        <w:t>☐ S0 – Klinik remisyon</w:t>
      </w:r>
      <w:r>
        <w:rPr>
          <w:sz w:val="20"/>
        </w:rPr>
        <w:t xml:space="preserve">    </w:t>
      </w:r>
      <w:r>
        <w:rPr>
          <w:sz w:val="20"/>
        </w:rPr>
        <w:t>☐ S1 – Hafif</w:t>
      </w:r>
      <w:r>
        <w:rPr>
          <w:sz w:val="20"/>
        </w:rPr>
        <w:t xml:space="preserve">    </w:t>
      </w:r>
      <w:r>
        <w:rPr>
          <w:sz w:val="20"/>
        </w:rPr>
        <w:t>☐ S2 – Orta</w:t>
      </w:r>
      <w:r>
        <w:rPr>
          <w:sz w:val="20"/>
        </w:rPr>
        <w:t xml:space="preserve">    </w:t>
      </w:r>
      <w:r>
        <w:rPr>
          <w:sz w:val="20"/>
        </w:rPr>
        <w:t>☐ S3 – Ağır</w:t>
      </w:r>
    </w:p>
    <w:p>
      <w:pPr>
        <w:spacing w:after="40"/>
      </w:pPr>
      <w:r>
        <w:rPr>
          <w:b/>
          <w:sz w:val="20"/>
        </w:rPr>
        <w:t xml:space="preserve">• Ekstraintestinal tutulum: </w:t>
      </w:r>
      <w:r>
        <w:rPr>
          <w:i/>
          <w:color w:val="5B6B7A"/>
          <w:sz w:val="18"/>
        </w:rPr>
        <w:t>[ artrit/artralji, üveit/episklerit, eritema nodozum, piyoderma gangrenozum, PSK, VTE öyküsü ]</w:t>
      </w:r>
    </w:p>
    <w:p>
      <w:pPr>
        <w:spacing w:after="40"/>
      </w:pPr>
      <w:r>
        <w:rPr>
          <w:b/>
          <w:sz w:val="20"/>
        </w:rPr>
        <w:t xml:space="preserve">• Aile öyküsü (İBH): </w:t>
      </w:r>
    </w:p>
    <w:p>
      <w:pPr>
        <w:spacing w:after="40"/>
      </w:pPr>
      <w:r>
        <w:rPr>
          <w:b/>
          <w:sz w:val="20"/>
        </w:rPr>
        <w:t xml:space="preserve">• Sigara durumu: </w:t>
      </w:r>
      <w:r>
        <w:rPr>
          <w:i/>
          <w:color w:val="5B6B7A"/>
          <w:sz w:val="18"/>
        </w:rPr>
        <w:t>[ hiç / bırakmış / aktif ]</w:t>
      </w:r>
    </w:p>
    <w:p>
      <w:pPr>
        <w:spacing w:after="40"/>
      </w:pPr>
      <w:r>
        <w:rPr>
          <w:b/>
          <w:sz w:val="20"/>
        </w:rPr>
        <w:t xml:space="preserve">• Önceki komplikasyonlar: </w:t>
      </w:r>
      <w:r>
        <w:rPr>
          <w:i/>
          <w:color w:val="5B6B7A"/>
          <w:sz w:val="18"/>
        </w:rPr>
        <w:t>[ ağır atak/hastane yatışı, toksik megakolon, displazi, cerrahi ]</w:t>
      </w:r>
    </w:p>
    <w:p>
      <w:pPr>
        <w:spacing w:before="200" w:after="80"/>
      </w:pPr>
      <w:r>
        <w:rPr>
          <w:b/>
          <w:color w:val="1F4E79"/>
          <w:sz w:val="26"/>
        </w:rPr>
        <w:t>3. GÜNCEL TEDAVİ VE UYUM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İlaç</w:t>
            </w:r>
          </w:p>
        </w:tc>
        <w:tc>
          <w:tcPr>
            <w:tcW w:type="dxa" w:w="20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Doz / Yol</w:t>
            </w:r>
          </w:p>
        </w:tc>
        <w:tc>
          <w:tcPr>
            <w:tcW w:type="dxa" w:w="20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Başlangıç</w:t>
            </w:r>
          </w:p>
        </w:tc>
        <w:tc>
          <w:tcPr>
            <w:tcW w:type="dxa" w:w="20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Uyum (İyi/Orta/Kötü)</w:t>
            </w:r>
          </w:p>
        </w:tc>
        <w:tc>
          <w:tcPr>
            <w:tcW w:type="dxa" w:w="2040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Yan etki</w:t>
            </w:r>
          </w:p>
        </w:tc>
      </w:tr>
      <w:tr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after="60"/>
      </w:pPr>
      <w:r>
        <w:rPr>
          <w:i/>
          <w:color w:val="5B6B7A"/>
          <w:sz w:val="17"/>
        </w:rPr>
        <w:t>5-ASA (oral ± topikal), topikal steroid, sistemik steroid, tiyopürin (AZA/6-MP), anti-TNF (infliksimab, adalimumab, golimumab), vedolizumab, ustekinumab, tofasitinib/upadasitinib, ozanimod. Steroid; idame tedavi DEĞİLDİR — steroid bağımlılığı/direnci not edilmeli.</w:t>
      </w:r>
    </w:p>
    <w:p>
      <w:pPr>
        <w:spacing w:after="40"/>
      </w:pPr>
      <w:r>
        <w:rPr>
          <w:b/>
          <w:sz w:val="20"/>
        </w:rPr>
        <w:t xml:space="preserve">• Steroide maruziyet (son 12 ay): </w:t>
      </w:r>
      <w:r>
        <w:rPr>
          <w:i/>
          <w:color w:val="5B6B7A"/>
          <w:sz w:val="18"/>
        </w:rPr>
        <w:t>[ kür sayısı / kümülatif süre ]</w:t>
      </w:r>
    </w:p>
    <w:p>
      <w:pPr>
        <w:spacing w:before="200" w:after="80"/>
      </w:pPr>
      <w:r>
        <w:rPr>
          <w:b/>
          <w:color w:val="1F4E79"/>
          <w:sz w:val="26"/>
        </w:rPr>
        <w:t>4. SEMPTOM DEĞERLENDİRME — Kısmi Mayo (pMayo) Skoru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311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Parametre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0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1</w:t>
            </w:r>
          </w:p>
        </w:tc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2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3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Dışkılama sıklığı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Normal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1–2/gün fazla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3–4/gün fazla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≥5/gün fazla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Rektal kanama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Yok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Çizgi şeklinde (&lt;%50 zaman)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Belirgin (≥%50 zaman)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Yalnız kan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sz w:val="18"/>
              </w:rPr>
              <w:t>Hekim genel değerlendirmesi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  <w:t>Normal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Hafif</w:t>
            </w:r>
          </w:p>
        </w:tc>
        <w:tc>
          <w:tcPr>
            <w:tcW w:type="dxa" w:w="1984"/>
          </w:tcPr>
          <w:p>
            <w:r/>
            <w:r>
              <w:rPr>
                <w:sz w:val="18"/>
              </w:rPr>
              <w:t>Orta</w:t>
            </w:r>
          </w:p>
        </w:tc>
        <w:tc>
          <w:tcPr>
            <w:tcW w:type="dxa" w:w="1587"/>
          </w:tcPr>
          <w:p>
            <w:r/>
            <w:r>
              <w:rPr>
                <w:sz w:val="18"/>
              </w:rPr>
              <w:t>Ağır</w:t>
            </w:r>
          </w:p>
        </w:tc>
      </w:tr>
    </w:tbl>
    <w:p>
      <w:pPr>
        <w:spacing w:after="40"/>
      </w:pPr>
      <w:r>
        <w:rPr>
          <w:b/>
          <w:sz w:val="20"/>
        </w:rPr>
        <w:t xml:space="preserve">• pMayo toplam (0–9): </w:t>
      </w:r>
    </w:p>
    <w:p>
      <w:pPr>
        <w:spacing w:after="60"/>
      </w:pPr>
      <w:r>
        <w:rPr>
          <w:i/>
          <w:color w:val="5B6B7A"/>
          <w:sz w:val="17"/>
        </w:rPr>
        <w:t>Yorum: Remisyon pMayo ≤2 ve hiçbir alt skor &gt;1; ayrıca rektal kanama alt skoru = 0 hedeflenir (STRIDE-II klinik hedef). Yanıt: başlangıca göre ≥2 puan ve ≥%30 düşüş. Alternatif: SCCAI ≤2 remisyon.</w:t>
      </w:r>
    </w:p>
    <w:p>
      <w:pPr>
        <w:spacing w:after="40"/>
      </w:pPr>
      <w:r>
        <w:rPr>
          <w:b/>
          <w:sz w:val="20"/>
        </w:rPr>
        <w:t xml:space="preserve">• Ek semptomlar: </w:t>
      </w:r>
      <w:r>
        <w:rPr>
          <w:i/>
          <w:color w:val="5B6B7A"/>
          <w:sz w:val="18"/>
        </w:rPr>
        <w:t>[ karın ağrısı, aciliyet/urgency, gece dışkılama, tenezm, kilo kaybı, ateş ]</w:t>
      </w:r>
    </w:p>
    <w:p>
      <w:pPr>
        <w:spacing w:after="40"/>
      </w:pPr>
      <w:r>
        <w:rPr>
          <w:b/>
          <w:sz w:val="20"/>
        </w:rPr>
        <w:t xml:space="preserve">• Yaşam kalitesi / işe-okula devamsızlık: </w:t>
      </w:r>
      <w:r>
        <w:rPr>
          <w:i/>
          <w:color w:val="5B6B7A"/>
          <w:sz w:val="18"/>
        </w:rPr>
        <w:t>[ IBD-Disk veya sIBDQ opsiyonel ]</w:t>
      </w:r>
    </w:p>
    <w:p>
      <w:pPr>
        <w:spacing w:after="40"/>
      </w:pPr>
      <w:r>
        <w:rPr>
          <w:b/>
          <w:sz w:val="20"/>
        </w:rPr>
        <w:t xml:space="preserve">• Dışkılama sıklığı (gündüz/gece): </w:t>
      </w:r>
    </w:p>
    <w:p>
      <w:pPr>
        <w:spacing w:before="200" w:after="80"/>
      </w:pPr>
      <w:r>
        <w:rPr>
          <w:b/>
          <w:color w:val="1F4E79"/>
          <w:sz w:val="26"/>
        </w:rPr>
        <w:t>5. FİZİK MUAYENE</w:t>
      </w:r>
    </w:p>
    <w:p>
      <w:pPr>
        <w:spacing w:after="40"/>
      </w:pPr>
      <w:r>
        <w:rPr>
          <w:b/>
          <w:sz w:val="20"/>
        </w:rPr>
        <w:t xml:space="preserve">• Genel durum / Vital: </w:t>
      </w:r>
      <w:r>
        <w:rPr>
          <w:i/>
          <w:color w:val="5B6B7A"/>
          <w:sz w:val="18"/>
        </w:rPr>
        <w:t>[ Ateş, NB, TA, KH ]</w:t>
      </w:r>
    </w:p>
    <w:p>
      <w:pPr>
        <w:spacing w:after="40"/>
      </w:pPr>
      <w:r>
        <w:rPr>
          <w:b/>
          <w:sz w:val="20"/>
        </w:rPr>
        <w:t xml:space="preserve">• Kilo / Boy / VKİ: </w:t>
      </w:r>
      <w:r>
        <w:rPr>
          <w:i/>
          <w:color w:val="5B6B7A"/>
          <w:sz w:val="18"/>
        </w:rPr>
        <w:t>[ kilo trendi önemli ]</w:t>
      </w:r>
    </w:p>
    <w:p>
      <w:pPr>
        <w:spacing w:after="40"/>
      </w:pPr>
      <w:r>
        <w:rPr>
          <w:b/>
          <w:sz w:val="20"/>
        </w:rPr>
        <w:t xml:space="preserve">• Batın muayenesi: </w:t>
      </w:r>
      <w:r>
        <w:rPr>
          <w:i/>
          <w:color w:val="5B6B7A"/>
          <w:sz w:val="18"/>
        </w:rPr>
        <w:t>[ hassasiyet, distansiyon, rebound ]</w:t>
      </w:r>
    </w:p>
    <w:p>
      <w:pPr>
        <w:spacing w:after="40"/>
      </w:pPr>
      <w:r>
        <w:rPr>
          <w:b/>
          <w:sz w:val="20"/>
        </w:rPr>
        <w:t xml:space="preserve">• Perianal / rektal muayene: </w:t>
      </w:r>
    </w:p>
    <w:p>
      <w:pPr>
        <w:spacing w:after="40"/>
      </w:pPr>
      <w:r>
        <w:rPr>
          <w:b/>
          <w:sz w:val="20"/>
        </w:rPr>
        <w:t xml:space="preserve">• Ekstraintestinal bulgular: </w:t>
      </w:r>
      <w:r>
        <w:rPr>
          <w:i/>
          <w:color w:val="5B6B7A"/>
          <w:sz w:val="18"/>
        </w:rPr>
        <w:t>[ eklem, göz, cilt, oral aft ]</w:t>
      </w:r>
    </w:p>
    <w:p>
      <w:pPr>
        <w:spacing w:before="200" w:after="80"/>
      </w:pPr>
      <w:r>
        <w:rPr>
          <w:b/>
          <w:color w:val="1F4E79"/>
          <w:sz w:val="26"/>
        </w:rPr>
        <w:t>6. LABORATUVAR VE BİYOBELİRTEÇLER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3685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Sonuç</w:t>
            </w:r>
          </w:p>
        </w:tc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Referans / Hedef</w:t>
            </w:r>
          </w:p>
        </w:tc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Not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Hemogram (Hb, Lökosit, Trombosit)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Hb: anemi taraması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CRP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Normalleşme hedef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Nonspesifik; tek başına yetersiz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Sedimantasyon (ESR)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Fekal Kalprotektin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&lt; 150 µg/g (hedef; ideal &lt;100–250)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Mukozal aktivitenin en iyi non-invaziv göstergesi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Albümin / Total protein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Ağır atakta düşük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Ferritin / Demir / TSAT / B12–Folat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Anemi etiyolojisi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Elektrolit / Böbrek / KCFT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İlaç izlemi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Gaita mikrobiyolojisi + C. difficile toksini</w:t>
            </w:r>
          </w:p>
        </w:tc>
        <w:tc>
          <w:tcPr>
            <w:tcW w:type="dxa" w:w="1474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Alevlenmede zorunlu</w:t>
            </w:r>
          </w:p>
        </w:tc>
        <w:tc>
          <w:tcPr>
            <w:tcW w:type="dxa" w:w="2494"/>
          </w:tcPr>
          <w:p>
            <w:r/>
            <w:r>
              <w:rPr>
                <w:sz w:val="18"/>
              </w:rPr>
              <w:t>Enfeksiyonu dışla</w:t>
            </w:r>
          </w:p>
        </w:tc>
      </w:tr>
    </w:tbl>
    <w:p>
      <w:pPr>
        <w:spacing w:after="60"/>
      </w:pPr>
      <w:r>
        <w:rPr>
          <w:i/>
          <w:color w:val="5B6B7A"/>
          <w:sz w:val="17"/>
        </w:rPr>
        <w:t>Fekal kalprotektin STRIDE-II'de ara (formatif) hedeftir; kalıcı yükseklik endoskopik değerlendirmeyi tetikler. Tiyopürin öncesi TPMT/NUDT15; biyolojik/JAK öncesi tarama testleri (aşağıda).</w:t>
      </w:r>
    </w:p>
    <w:p>
      <w:pPr>
        <w:spacing w:before="200" w:after="80"/>
      </w:pPr>
      <w:r>
        <w:rPr>
          <w:b/>
          <w:color w:val="1F4E79"/>
          <w:sz w:val="26"/>
        </w:rPr>
        <w:t>7. ENDOSKOPİK AKTİVİTE VE GÖRÜNTÜLEME</w:t>
      </w:r>
    </w:p>
    <w:p>
      <w:pPr>
        <w:spacing w:after="40"/>
      </w:pPr>
      <w:r>
        <w:rPr>
          <w:b/>
          <w:sz w:val="20"/>
        </w:rPr>
        <w:t xml:space="preserve">• Son kolonoskopi/sigmoidoskopi tarihi: </w:t>
      </w:r>
    </w:p>
    <w:p>
      <w:r>
        <w:rPr>
          <w:b/>
        </w:rPr>
        <w:t>Mayo Endoskopik Alt Skoru (MES):</w:t>
      </w:r>
    </w:p>
    <w:p>
      <w:pPr>
        <w:spacing w:after="40"/>
      </w:pPr>
      <w:r>
        <w:rPr>
          <w:sz w:val="20"/>
        </w:rPr>
        <w:t>☐ 0 – Normal / inaktif</w:t>
      </w:r>
      <w:r>
        <w:rPr>
          <w:sz w:val="20"/>
        </w:rPr>
        <w:t xml:space="preserve">    </w:t>
      </w:r>
      <w:r>
        <w:rPr>
          <w:sz w:val="20"/>
        </w:rPr>
        <w:t>☐ 1 – Hafif (eritem, azalmış vasküler ağ)</w:t>
      </w:r>
      <w:r>
        <w:rPr>
          <w:sz w:val="20"/>
        </w:rPr>
        <w:t xml:space="preserve">    </w:t>
      </w:r>
      <w:r>
        <w:rPr>
          <w:sz w:val="20"/>
        </w:rPr>
        <w:t>☐ 2 – Orta (belirgin eritem, erozyon)</w:t>
      </w:r>
      <w:r>
        <w:rPr>
          <w:sz w:val="20"/>
        </w:rPr>
        <w:t xml:space="preserve">    </w:t>
      </w:r>
      <w:r>
        <w:rPr>
          <w:sz w:val="20"/>
        </w:rPr>
        <w:t>☐ 3 – Ağır (spontan kanama, ülser)</w:t>
      </w:r>
    </w:p>
    <w:p>
      <w:pPr>
        <w:spacing w:after="40"/>
      </w:pPr>
      <w:r>
        <w:rPr>
          <w:b/>
          <w:sz w:val="20"/>
        </w:rPr>
        <w:t xml:space="preserve">• UCEIS (0–8): </w:t>
      </w:r>
      <w:r>
        <w:rPr>
          <w:i/>
          <w:color w:val="5B6B7A"/>
          <w:sz w:val="18"/>
        </w:rPr>
        <w:t>[ vasküler patern + kanama + erozyon/ülser ]</w:t>
      </w:r>
    </w:p>
    <w:p>
      <w:pPr>
        <w:spacing w:after="60"/>
      </w:pPr>
      <w:r>
        <w:rPr>
          <w:i/>
          <w:color w:val="5B6B7A"/>
          <w:sz w:val="17"/>
        </w:rPr>
        <w:t>Endoskopik iyileşme (mukozal iyileşme) = MES ≤1 (ideal MES 0). STRIDE-II uzun dönem hedefi. UCEIS daha ayrıntılı ve doğrulanmış; MES ile birlikte kullanılabilir. Histolojik remisyon opsiyonel ileri hedeftir.</w:t>
      </w:r>
    </w:p>
    <w:p>
      <w:pPr>
        <w:spacing w:after="40"/>
      </w:pPr>
      <w:r>
        <w:rPr>
          <w:b/>
          <w:sz w:val="20"/>
        </w:rPr>
        <w:t xml:space="preserve">• Histoloji: </w:t>
      </w:r>
      <w:r>
        <w:rPr>
          <w:i/>
          <w:color w:val="5B6B7A"/>
          <w:sz w:val="18"/>
        </w:rPr>
        <w:t>[ Nancy/Robarts indeksi — bazal plazmositoz, nötrofilik infiltrasyon ]</w:t>
      </w:r>
    </w:p>
    <w:p>
      <w:pPr>
        <w:spacing w:after="40"/>
      </w:pPr>
      <w:r>
        <w:rPr>
          <w:b/>
          <w:sz w:val="20"/>
        </w:rPr>
        <w:t xml:space="preserve">• Görüntüleme (gerekirse): </w:t>
      </w:r>
      <w:r>
        <w:rPr>
          <w:i/>
          <w:color w:val="5B6B7A"/>
          <w:sz w:val="18"/>
        </w:rPr>
        <w:t>[ ADBG/BT — ağır atakta toksik megakolon şüphesi ]</w:t>
      </w:r>
    </w:p>
    <w:p>
      <w:pPr>
        <w:spacing w:before="200" w:after="80"/>
      </w:pPr>
      <w:r>
        <w:rPr>
          <w:b/>
          <w:color w:val="1F4E79"/>
          <w:sz w:val="26"/>
        </w:rPr>
        <w:t>8. HASTALIK AKTİVİTESİ — Truelove-Witts (Ağır Atak Değerlendirmesi)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969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Kriter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Hafif</w:t>
            </w:r>
          </w:p>
        </w:tc>
        <w:tc>
          <w:tcPr>
            <w:tcW w:type="dxa" w:w="306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Ağır (ATAK)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Kanlı dışkılama / gün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&lt; 4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≥ 6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Nabız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&lt; 90/dk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&gt; 90/dk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Ateş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&lt; 37.8°C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&gt; 37.8°C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Hemoglobin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Normal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&lt; 10.5 g/dL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18"/>
              </w:rPr>
              <w:t>ESR / CRP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≤ 30 mm/s</w:t>
            </w:r>
          </w:p>
        </w:tc>
        <w:tc>
          <w:tcPr>
            <w:tcW w:type="dxa" w:w="3061"/>
          </w:tcPr>
          <w:p>
            <w:r/>
            <w:r>
              <w:rPr>
                <w:sz w:val="18"/>
              </w:rPr>
              <w:t>&gt; 30 mm/s</w:t>
            </w:r>
          </w:p>
        </w:tc>
      </w:tr>
    </w:tbl>
    <w:p>
      <w:pPr>
        <w:spacing w:after="60"/>
      </w:pPr>
      <w:r>
        <w:rPr>
          <w:i/>
          <w:color w:val="5B6B7A"/>
          <w:sz w:val="17"/>
        </w:rPr>
        <w:t>≥6 kanlı dışkılama + en az 1 sistemik bulgu (nabız/ateş/Hb/ESR) = AĞIR ATAK (Akut Ağır Ülseratif Kolit — ASUC). Hastaneye yatış, IV steroid, VTE profilaksisi, günlük izlem; 3. günde Oxford/Travis kriterleri ile kurtarma tedavisi kararı.</w:t>
      </w:r>
    </w:p>
    <w:p>
      <w:r>
        <w:rPr>
          <w:b/>
        </w:rPr>
        <w:t>Genel değerlendirme:</w:t>
      </w:r>
    </w:p>
    <w:p>
      <w:pPr>
        <w:spacing w:after="40"/>
      </w:pPr>
      <w:r>
        <w:rPr>
          <w:sz w:val="20"/>
        </w:rPr>
        <w:t>☐ Klinik remisyon</w:t>
      </w:r>
      <w:r>
        <w:rPr>
          <w:sz w:val="20"/>
        </w:rPr>
        <w:t xml:space="preserve">    </w:t>
      </w:r>
      <w:r>
        <w:rPr>
          <w:sz w:val="20"/>
        </w:rPr>
        <w:t>☐ Hafif aktivite</w:t>
      </w:r>
      <w:r>
        <w:rPr>
          <w:sz w:val="20"/>
        </w:rPr>
        <w:t xml:space="preserve">    </w:t>
      </w:r>
      <w:r>
        <w:rPr>
          <w:sz w:val="20"/>
        </w:rPr>
        <w:t>☐ Orta aktivite</w:t>
      </w:r>
      <w:r>
        <w:rPr>
          <w:sz w:val="20"/>
        </w:rPr>
        <w:t xml:space="preserve">    </w:t>
      </w:r>
      <w:r>
        <w:rPr>
          <w:sz w:val="20"/>
        </w:rPr>
        <w:t>☐ Ağır atak (ASUC)</w:t>
      </w:r>
    </w:p>
    <w:p>
      <w:pPr>
        <w:spacing w:before="200" w:after="80"/>
      </w:pPr>
      <w:r>
        <w:rPr>
          <w:b/>
          <w:color w:val="1F4E79"/>
          <w:sz w:val="26"/>
        </w:rPr>
        <w:t>9. TEDAVİ HEDEFLERİ — Treat-to-Target (STRIDE-II 2021)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198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Zaman</w:t>
            </w:r>
          </w:p>
        </w:tc>
        <w:tc>
          <w:tcPr>
            <w:tcW w:type="dxa" w:w="595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Hedef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Ulaşıldı mı?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Kısa dönem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Klinik yanıt (semptomlarda düzelme)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☐ Evet  ☐ Hayır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Orta dönem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Klinik remisyon (pMayo ≤2) + CRP normal + FKP düşüş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☐ Evet  ☐ Hayır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Uzun dönem</w:t>
            </w:r>
          </w:p>
        </w:tc>
        <w:tc>
          <w:tcPr>
            <w:tcW w:type="dxa" w:w="5953"/>
          </w:tcPr>
          <w:p>
            <w:r/>
            <w:r>
              <w:rPr>
                <w:sz w:val="18"/>
              </w:rPr>
              <w:t>Endoskopik iyileşme (MES ≤1) + normal yaşam kalitesi + kalıcı steroidsiz remisyon</w:t>
            </w:r>
          </w:p>
        </w:tc>
        <w:tc>
          <w:tcPr>
            <w:tcW w:type="dxa" w:w="2154"/>
          </w:tcPr>
          <w:p>
            <w:r/>
            <w:r>
              <w:rPr>
                <w:sz w:val="18"/>
              </w:rPr>
              <w:t>☐ Evet  ☐ Hayır</w:t>
            </w:r>
          </w:p>
        </w:tc>
      </w:tr>
    </w:tbl>
    <w:p>
      <w:pPr>
        <w:spacing w:after="60"/>
      </w:pPr>
      <w:r>
        <w:rPr>
          <w:i/>
          <w:color w:val="5B6B7A"/>
          <w:sz w:val="17"/>
        </w:rPr>
        <w:t>Hedefe ulaşılmadıysa tedavi optimizasyonu/değişikliği düşün (doz artışı, TDM ile ilaç düzeyi/antikor, sınıf değişimi). Formatif hedefler: CRP ve fekal kalprotektin normalizasyonu.</w:t>
      </w:r>
    </w:p>
    <w:p>
      <w:pPr>
        <w:spacing w:before="200" w:after="80"/>
      </w:pPr>
      <w:r>
        <w:rPr>
          <w:b/>
          <w:color w:val="1F4E79"/>
          <w:sz w:val="26"/>
        </w:rPr>
        <w:t>10. GÖZETİM, TARAMA VE KORUYUCU SAĞLIK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Alan</w:t>
            </w:r>
          </w:p>
        </w:tc>
        <w:tc>
          <w:tcPr>
            <w:tcW w:type="dxa" w:w="5443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Öneri</w:t>
            </w:r>
          </w:p>
        </w:tc>
        <w:tc>
          <w:tcPr>
            <w:tcW w:type="dxa" w:w="2268"/>
            <w:shd w:val="clear" w:color="auto" w:fill="1F4E79"/>
          </w:tcPr>
          <w:p>
            <w:r/>
            <w:r>
              <w:rPr>
                <w:b/>
                <w:color w:val="FFFFFF"/>
                <w:sz w:val="18"/>
              </w:rPr>
              <w:t>Son / Planlanan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KRK gözetim kolonoskopisi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Yaygın/sol kolon tutulumunda tanıdan 8 yıl sonra başla; risk katmanına göre 1–5 yıl (kromoendoskopi/HD)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PSK varlığı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Tanı anından itibaren yıllık kolonoskopi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Kemik sağlığı (DEXA)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Uzun/tekrarlayan steroid kullanımında; Ca/D vitamini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Aşılama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İnaktive: influenza, pnömokok, Hep B, HPV, COVID-19; canlı aşılar immünsupresyon öncesi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Latent enfeksiyon taraması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Biyolojik/JAK öncesi TB (IGRA/PPD, akciğer grafisi), HBV, HCV, HIV, VZV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Cilt / dermatolojik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Tiyopürin: NMSC riski; JAK/anti-TNF: cilt izlemi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Ruhsal sağlık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Anksiyete/depresyon taraması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8"/>
              </w:rPr>
              <w:t>Üreme sağlığı</w:t>
            </w:r>
          </w:p>
        </w:tc>
        <w:tc>
          <w:tcPr>
            <w:tcW w:type="dxa" w:w="5443"/>
          </w:tcPr>
          <w:p>
            <w:r/>
            <w:r>
              <w:rPr>
                <w:sz w:val="18"/>
              </w:rPr>
              <w:t>Gebelik planı, gebelikte remisyon hedefi, ilaç uyumluluğu</w:t>
            </w:r>
          </w:p>
        </w:tc>
        <w:tc>
          <w:tcPr>
            <w:tcW w:type="dxa" w:w="2268"/>
          </w:tcPr>
          <w:p>
            <w:r/>
            <w:r>
              <w:rPr>
                <w:sz w:val="18"/>
              </w:rPr>
            </w:r>
          </w:p>
        </w:tc>
      </w:tr>
    </w:tbl>
    <w:p>
      <w:pPr>
        <w:spacing w:before="200" w:after="80"/>
      </w:pPr>
      <w:r>
        <w:rPr>
          <w:b/>
          <w:color w:val="1F4E79"/>
          <w:sz w:val="26"/>
        </w:rPr>
        <w:t>11. DEĞERLENDİRME VE PLAN</w:t>
      </w:r>
    </w:p>
    <w:p>
      <w:pPr>
        <w:spacing w:after="40"/>
      </w:pPr>
      <w:r>
        <w:rPr>
          <w:b/>
          <w:sz w:val="20"/>
        </w:rPr>
        <w:t xml:space="preserve">• Klinik değerlendirme özeti: </w:t>
      </w:r>
      <w:r>
        <w:rPr>
          <w:i/>
          <w:color w:val="5B6B7A"/>
          <w:sz w:val="18"/>
        </w:rPr>
        <w:t>[ aktivite, hedefe ulaşım, komplikasyon ]</w:t>
      </w:r>
    </w:p>
    <w:p>
      <w:r>
        <w:rPr>
          <w:b/>
        </w:rPr>
        <w:t>Tedavi kararı:</w:t>
      </w:r>
    </w:p>
    <w:p>
      <w:pPr>
        <w:spacing w:after="40"/>
      </w:pPr>
      <w:r>
        <w:rPr>
          <w:sz w:val="20"/>
        </w:rPr>
        <w:t>☐ Mevcut tedaviye devam</w:t>
      </w:r>
      <w:r>
        <w:rPr>
          <w:sz w:val="20"/>
        </w:rPr>
        <w:t xml:space="preserve">    </w:t>
      </w:r>
      <w:r>
        <w:rPr>
          <w:sz w:val="20"/>
        </w:rPr>
        <w:t>☐ Doz optimizasyonu</w:t>
      </w:r>
      <w:r>
        <w:rPr>
          <w:sz w:val="20"/>
        </w:rPr>
        <w:t xml:space="preserve">    </w:t>
      </w:r>
      <w:r>
        <w:rPr>
          <w:sz w:val="20"/>
        </w:rPr>
        <w:t>☐ Basamak yükseltme (step-up)</w:t>
      </w:r>
      <w:r>
        <w:rPr>
          <w:sz w:val="20"/>
        </w:rPr>
        <w:t xml:space="preserve">    </w:t>
      </w:r>
      <w:r>
        <w:rPr>
          <w:sz w:val="20"/>
        </w:rPr>
        <w:t>☐ Sınıf değişimi</w:t>
      </w:r>
      <w:r>
        <w:rPr>
          <w:sz w:val="20"/>
        </w:rPr>
        <w:t xml:space="preserve">    </w:t>
      </w:r>
      <w:r>
        <w:rPr>
          <w:sz w:val="20"/>
        </w:rPr>
        <w:t>☐ Topikal ekleme</w:t>
      </w:r>
      <w:r>
        <w:rPr>
          <w:sz w:val="20"/>
        </w:rPr>
        <w:t xml:space="preserve">    </w:t>
      </w:r>
      <w:r>
        <w:rPr>
          <w:sz w:val="20"/>
        </w:rPr>
        <w:t>☐ Cerrahi konsültasyon</w:t>
      </w:r>
    </w:p>
    <w:p>
      <w:pPr>
        <w:spacing w:after="40"/>
      </w:pPr>
      <w:r>
        <w:rPr>
          <w:b/>
          <w:sz w:val="20"/>
        </w:rPr>
        <w:t xml:space="preserve">• Yeni/değişen ilaç ve gerekçe: </w:t>
      </w:r>
    </w:p>
    <w:p>
      <w:pPr>
        <w:spacing w:after="40"/>
      </w:pPr>
      <w:r>
        <w:rPr>
          <w:b/>
          <w:sz w:val="20"/>
        </w:rPr>
        <w:t xml:space="preserve">• TDM / ilaç düzeyi istemi: </w:t>
      </w:r>
      <w:r>
        <w:rPr>
          <w:i/>
          <w:color w:val="5B6B7A"/>
          <w:sz w:val="18"/>
        </w:rPr>
        <w:t>[ anti-TNF düzeyi + anti-drug antikor ]</w:t>
      </w:r>
    </w:p>
    <w:p>
      <w:pPr>
        <w:spacing w:after="40"/>
      </w:pPr>
      <w:r>
        <w:rPr>
          <w:b/>
          <w:sz w:val="20"/>
        </w:rPr>
        <w:t xml:space="preserve">• Beslenme / demir replasmanı: </w:t>
      </w:r>
      <w:r>
        <w:rPr>
          <w:i/>
          <w:color w:val="5B6B7A"/>
          <w:sz w:val="18"/>
        </w:rPr>
        <w:t>[ IV demir tercih ]</w:t>
      </w:r>
    </w:p>
    <w:p>
      <w:pPr>
        <w:spacing w:after="40"/>
      </w:pPr>
      <w:r>
        <w:rPr>
          <w:b/>
          <w:sz w:val="20"/>
        </w:rPr>
        <w:t xml:space="preserve">• Hasta eğitimi verildi: </w:t>
      </w:r>
      <w:r>
        <w:rPr>
          <w:i/>
          <w:color w:val="5B6B7A"/>
          <w:sz w:val="18"/>
        </w:rPr>
        <w:t>[ hastalık, ilaç uyumu, alevlenme belirtileri, sigara bırakma, aşı ]</w:t>
      </w:r>
    </w:p>
    <w:p>
      <w:pPr>
        <w:spacing w:after="40"/>
      </w:pPr>
      <w:r>
        <w:rPr>
          <w:b/>
          <w:sz w:val="20"/>
        </w:rPr>
        <w:t xml:space="preserve">• Kırmızı bayrak uyarıları anlatıldı: </w:t>
      </w:r>
      <w:r>
        <w:rPr>
          <w:i/>
          <w:color w:val="5B6B7A"/>
          <w:sz w:val="18"/>
        </w:rPr>
        <w:t>[ artan kanama, ateş, şiddetli ağrı, kilo kaybı → acil başvuru ]</w:t>
      </w:r>
    </w:p>
    <w:p>
      <w:pPr>
        <w:spacing w:after="40"/>
      </w:pPr>
      <w:r>
        <w:rPr>
          <w:b/>
          <w:sz w:val="20"/>
        </w:rPr>
        <w:t xml:space="preserve">• Bir sonraki değerlendirme planı: </w:t>
      </w:r>
      <w:r>
        <w:rPr>
          <w:i/>
          <w:color w:val="5B6B7A"/>
          <w:sz w:val="18"/>
        </w:rPr>
        <w:t>[ poliklinik / lab / FKP / endoskopi tarihi ]</w:t>
      </w:r>
    </w:p>
    <w:p/>
    <w:p>
      <w:r>
        <w:rPr>
          <w:sz w:val="20"/>
        </w:rPr>
        <w:t>Hekim adı-soyadı / İmza: ______________________________        Tarih: ____/____/________</w:t>
      </w:r>
    </w:p>
    <w:p>
      <w:pPr>
        <w:spacing w:before="280" w:after="80"/>
      </w:pPr>
      <w:r>
        <w:rPr>
          <w:b/>
          <w:color w:val="1F4E79"/>
          <w:sz w:val="22"/>
        </w:rPr>
        <w:t>Kaynaklar / Referanslar</w:t>
      </w:r>
    </w:p>
    <w:p>
      <w:pPr>
        <w:pStyle w:val="ListNumber"/>
      </w:pPr>
      <w:r>
        <w:rPr>
          <w:sz w:val="17"/>
        </w:rPr>
        <w:t>Raine T, et al. ECCO Guidelines on Therapeutics in Ulcerative Colitis: Medical Treatment. J Crohns Colitis. 2022;16(1):2–17.</w:t>
      </w:r>
    </w:p>
    <w:p>
      <w:pPr>
        <w:pStyle w:val="ListNumber"/>
      </w:pPr>
      <w:r>
        <w:rPr>
          <w:sz w:val="17"/>
        </w:rPr>
        <w:t>Gordon H, et al. ECCO Guidelines on Therapeutics in UC: Surgical Treatment / Diagnosis &amp; Monitoring (ECCO 2022–2023).</w:t>
      </w:r>
    </w:p>
    <w:p>
      <w:pPr>
        <w:pStyle w:val="ListNumber"/>
      </w:pPr>
      <w:r>
        <w:rPr>
          <w:sz w:val="17"/>
        </w:rPr>
        <w:t>Turner D, et al. STRIDE-II: An Update on the Selecting Therapeutic Targets in IBD (STRIDE) Initiative. Gastroenterology. 2021;160(5):1570–1583.</w:t>
      </w:r>
    </w:p>
    <w:p>
      <w:pPr>
        <w:pStyle w:val="ListNumber"/>
      </w:pPr>
      <w:r>
        <w:rPr>
          <w:sz w:val="17"/>
        </w:rPr>
        <w:t>Schroeder KW, et al. Mayo skoru. N Engl J Med. 1987;317:1625–1629.</w:t>
      </w:r>
    </w:p>
    <w:p>
      <w:pPr>
        <w:pStyle w:val="ListNumber"/>
      </w:pPr>
      <w:r>
        <w:rPr>
          <w:sz w:val="17"/>
        </w:rPr>
        <w:t>Travis SPL, et al. UCEIS — Ulcerative Colitis Endoscopic Index of Severity. Gut. 2012 &amp; Gastroenterology 2013.</w:t>
      </w:r>
    </w:p>
    <w:p>
      <w:pPr>
        <w:pStyle w:val="ListNumber"/>
      </w:pPr>
      <w:r>
        <w:rPr>
          <w:sz w:val="17"/>
        </w:rPr>
        <w:t>Truelove SC, Witts LJ. Cortisone in ulcerative colitis. BMJ. 1955;2:1041–1048.</w:t>
      </w:r>
    </w:p>
    <w:p>
      <w:pPr>
        <w:pStyle w:val="ListNumber"/>
      </w:pPr>
      <w:r>
        <w:rPr>
          <w:sz w:val="17"/>
        </w:rPr>
        <w:t>Lamb CA, et al. British Society of Gastroenterology (BSG) IBD guidelines. Gut. 2019;68(Suppl 3).</w:t>
      </w:r>
    </w:p>
    <w:p>
      <w:r>
        <w:rPr>
          <w:i/>
          <w:color w:val="5B6B7A"/>
          <w:sz w:val="16"/>
        </w:rPr>
        <w:t>Not: Bu form klinik karar desteği amaçlıdır; kurumsal protokoller ve güncel kılavuzlarla birlikte kullanılmalı, hekimin klinik yargısının yerine geçmez. Eşik değerler kaynaklara göre değişebilir.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