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Yapay</w:t>
      </w:r>
      <w:r>
        <w:t xml:space="preserve"> </w:t>
      </w:r>
      <w:r>
        <w:t xml:space="preserve">Zekâ</w:t>
      </w:r>
      <w:r>
        <w:t xml:space="preserve"> </w:t>
      </w:r>
      <w:r>
        <w:t xml:space="preserve">Olay</w:t>
      </w:r>
      <w:r>
        <w:t xml:space="preserve"> </w:t>
      </w:r>
      <w:r>
        <w:t xml:space="preserve">Prosedürü</w:t>
      </w:r>
    </w:p>
    <w:bookmarkStart w:id="20" w:name="amaç"/>
    <w:p>
      <w:pPr>
        <w:pStyle w:val="Heading1"/>
      </w:pPr>
      <w:r>
        <w:t xml:space="preserve">1. Amaç</w:t>
      </w:r>
    </w:p>
    <w:p>
      <w:pPr>
        <w:pStyle w:val="FirstParagraph"/>
      </w:pPr>
      <w:r>
        <w:t xml:space="preserve">AI sistemlerine ve servislerine özgü olayların hızlı tanınmasını, doğru kişilere ulaşmasını ve yasal bildirim sürelerinin kaçırılmamasını sağlamak.</w:t>
      </w:r>
    </w:p>
    <w:bookmarkEnd w:id="20"/>
    <w:bookmarkStart w:id="21" w:name="genel-olay-süreciyle-ilişki"/>
    <w:p>
      <w:pPr>
        <w:pStyle w:val="Heading1"/>
      </w:pPr>
      <w:r>
        <w:t xml:space="preserve">2. Genel olay süreciyle ilişki</w:t>
      </w:r>
    </w:p>
    <w:p>
      <w:pPr>
        <w:pStyle w:val="FirstParagraph"/>
      </w:pPr>
      <w:r>
        <w:t xml:space="preserve">Bu prosedür {{Kurum}}’un</w:t>
      </w:r>
      <w:r>
        <w:t xml:space="preserve"> </w:t>
      </w:r>
      <w:r>
        <w:rPr>
          <w:bCs/>
          <w:b/>
        </w:rPr>
        <w:t xml:space="preserve">{{Bilgi Güvenliği Olay Yönetimi Prosedürü, belge no}}</w:t>
      </w:r>
      <w:r>
        <w:t xml:space="preserve">’nun AI’ye özgü ekidir. Sınıflandırma, müdahale, kanıt saklama ve kapanış adımları o prosedüre göre yürür; bu belge AI’ye özgü olay türlerini, ek rolleri ve bildirim noktalarını tanımlar.</w:t>
      </w:r>
    </w:p>
    <w:bookmarkEnd w:id="21"/>
    <w:bookmarkStart w:id="22" w:name="ai-olay-türleri"/>
    <w:p>
      <w:pPr>
        <w:pStyle w:val="Heading1"/>
      </w:pPr>
      <w:r>
        <w:t xml:space="preserve">3. AI olay türleri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1168"/>
        <w:gridCol w:w="3422"/>
        <w:gridCol w:w="5008"/>
      </w:tblGrid>
      <w:tr>
        <w:trPr>
          <w:tblHeader w:val="true"/>
        </w:trPr>
        <w:tc>
          <w:tcPr>
            <w:tcW w:type="dxa" w:w="1168"/>
          </w:tcPr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>
            <w:tcW w:type="dxa" w:w="3422"/>
          </w:tcPr>
          <w:p>
            <w:pPr>
              <w:pStyle w:val="Compact"/>
              <w:jc w:val="left"/>
            </w:pPr>
            <w:r>
              <w:t xml:space="preserve">Olay türü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  <w:r>
              <w:t xml:space="preserve">Örnekler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</w:t>
            </w:r>
          </w:p>
        </w:tc>
        <w:tc>
          <w:tcPr>
            <w:tcW w:type="dxa" w:w="3422"/>
          </w:tcPr>
          <w:p>
            <w:pPr>
              <w:pStyle w:val="Compact"/>
              <w:jc w:val="left"/>
            </w:pPr>
            <w:r>
              <w:t xml:space="preserve">Prompt ya da çıktı yoluyla veri sızıntısı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  <w:r>
              <w:t xml:space="preserve">Çalışanın müşteri verisini onaysız bir AI servisine yapıştırması; modelin yanıtında başka bir kişinin verisini göstermesi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</w:t>
            </w:r>
          </w:p>
        </w:tc>
        <w:tc>
          <w:tcPr>
            <w:tcW w:type="dxa" w:w="3422"/>
          </w:tcPr>
          <w:p>
            <w:pPr>
              <w:pStyle w:val="Compact"/>
              <w:jc w:val="left"/>
            </w:pPr>
            <w:r>
              <w:t xml:space="preserve">Etkisi olan zararlı ya da yanlış çıktı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  <w:r>
              <w:t xml:space="preserve">Müşteriye yanlış bilgi verilmesi; ayrımcı ya da hakaret içeren çıktı; hatalı çıktıya dayanılarak işlem yapılması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AI-3</w:t>
            </w:r>
          </w:p>
        </w:tc>
        <w:tc>
          <w:tcPr>
            <w:tcW w:type="dxa" w:w="3422"/>
          </w:tcPr>
          <w:p>
            <w:pPr>
              <w:pStyle w:val="Compact"/>
              <w:jc w:val="left"/>
            </w:pPr>
            <w:r>
              <w:t xml:space="preserve">Model üzerinden yetkisiz erişim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  <w:r>
              <w:t xml:space="preserve">Kullanıcının yetkisi olmayan belgeye AI asistanı üzerinden ulaşması; prompt injection ile kural dışı davranış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AI-4</w:t>
            </w:r>
          </w:p>
        </w:tc>
        <w:tc>
          <w:tcPr>
            <w:tcW w:type="dxa" w:w="3422"/>
          </w:tcPr>
          <w:p>
            <w:pPr>
              <w:pStyle w:val="Compact"/>
              <w:jc w:val="left"/>
            </w:pPr>
            <w:r>
              <w:t xml:space="preserve">Sağlayıcı tarafı olay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  <w:r>
              <w:t xml:space="preserve">Dış AI sağlayıcısının ihlal bildirimi; sağlayıcının koşul değişikliği ile verinin eğitimde kullanılmaya başlanması; servis kesintisi</w:t>
            </w:r>
          </w:p>
        </w:tc>
      </w:tr>
    </w:tbl>
    <w:p>
      <w:pPr>
        <w:pStyle w:val="BodyText"/>
      </w:pPr>
      <w:r>
        <w:t xml:space="preserve">Şüphe durumunda olay</w:t>
      </w:r>
      <w:r>
        <w:t xml:space="preserve"> </w:t>
      </w:r>
      <w:r>
        <w:rPr>
          <w:bCs/>
          <w:b/>
        </w:rPr>
        <w:t xml:space="preserve">bildirilir</w:t>
      </w:r>
      <w:r>
        <w:t xml:space="preserve">; türü değerlendirme sırasında belirlenir.</w:t>
      </w:r>
    </w:p>
    <w:bookmarkEnd w:id="22"/>
    <w:bookmarkStart w:id="23" w:name="kim-kime-bildirir"/>
    <w:p>
      <w:pPr>
        <w:pStyle w:val="Heading1"/>
      </w:pPr>
      <w:r>
        <w:t xml:space="preserve">4. Kim, kime bildirir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Fark eden kişi</w:t>
      </w:r>
      <w:r>
        <w:t xml:space="preserve"> </w:t>
      </w:r>
      <w:r>
        <w:t xml:space="preserve">→ {{bildirim kanalı}} üzerinden</w:t>
      </w:r>
      <w:r>
        <w:t xml:space="preserve"> </w:t>
      </w:r>
      <w:r>
        <w:rPr>
          <w:bCs/>
          <w:b/>
        </w:rPr>
        <w:t xml:space="preserve">AI Olay Bildirim Formu</w:t>
      </w:r>
      <w:r>
        <w:t xml:space="preserve"> </w:t>
      </w:r>
      <w:r>
        <w:t xml:space="preserve">({{TPL-04 no}}) ile, fark ettikten sonra</w:t>
      </w:r>
      <w:r>
        <w:t xml:space="preserve"> </w:t>
      </w:r>
      <w:r>
        <w:rPr>
          <w:bCs/>
          <w:b/>
        </w:rPr>
        <w:t xml:space="preserve">en geç {{2}} saat</w:t>
      </w:r>
      <w:r>
        <w:t xml:space="preserve"> </w:t>
      </w:r>
      <w:r>
        <w:t xml:space="preserve">içinde.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Olay koordinatörü</w:t>
      </w:r>
      <w:r>
        <w:t xml:space="preserve"> </w:t>
      </w:r>
      <w:r>
        <w:t xml:space="preserve">({{Bilgi güvenliği sorumlusu}}) → ilk değerlendirme ve önem derecesi:</w:t>
      </w:r>
      <w:r>
        <w:t xml:space="preserve"> </w:t>
      </w:r>
      <w:r>
        <w:rPr>
          <w:bCs/>
          <w:b/>
        </w:rPr>
        <w:t xml:space="preserve">{{4}} saat</w:t>
      </w:r>
      <w:r>
        <w:t xml:space="preserve"> </w:t>
      </w:r>
      <w:r>
        <w:t xml:space="preserve">içinde.</w:t>
      </w:r>
    </w:p>
    <w:p>
      <w:pPr>
        <w:numPr>
          <w:ilvl w:val="0"/>
          <w:numId w:val="1001"/>
        </w:numPr>
        <w:pStyle w:val="Compact"/>
      </w:pPr>
      <w:r>
        <w:t xml:space="preserve">Önem derecesi Yüksek/Kritik ya da AI-1 ise →</w:t>
      </w:r>
      <w:r>
        <w:t xml:space="preserve"> </w:t>
      </w:r>
      <w:r>
        <w:rPr>
          <w:bCs/>
          <w:b/>
        </w:rPr>
        <w:t xml:space="preserve">AI sistem sahibi</w:t>
      </w:r>
      <w:r>
        <w:t xml:space="preserve">,</w:t>
      </w:r>
      <w:r>
        <w:t xml:space="preserve"> </w:t>
      </w:r>
      <w:r>
        <w:rPr>
          <w:bCs/>
          <w:b/>
        </w:rPr>
        <w:t xml:space="preserve">KVKK irtibat kişisi/DPO</w:t>
      </w:r>
      <w:r>
        <w:t xml:space="preserve">,</w:t>
      </w:r>
      <w:r>
        <w:t xml:space="preserve"> </w:t>
      </w:r>
      <w:r>
        <w:rPr>
          <w:bCs/>
          <w:b/>
        </w:rPr>
        <w:t xml:space="preserve">AI yönetişim sorumlusu</w:t>
      </w:r>
      <w:r>
        <w:t xml:space="preserve"> </w:t>
      </w:r>
      <w:r>
        <w:t xml:space="preserve">aynı gün bilgilendirilir.</w:t>
      </w:r>
    </w:p>
    <w:p>
      <w:pPr>
        <w:numPr>
          <w:ilvl w:val="0"/>
          <w:numId w:val="1001"/>
        </w:numPr>
        <w:pStyle w:val="Compact"/>
      </w:pPr>
      <w:r>
        <w:t xml:space="preserve">Kritik olaylarda →</w:t>
      </w:r>
      <w:r>
        <w:t xml:space="preserve"> </w:t>
      </w:r>
      <w:r>
        <w:rPr>
          <w:bCs/>
          <w:b/>
        </w:rPr>
        <w:t xml:space="preserve">{{Genel Müdür}}</w:t>
      </w:r>
      <w:r>
        <w:t xml:space="preserve"> </w:t>
      </w:r>
      <w:r>
        <w:t xml:space="preserve">bilgilendirilir.</w:t>
      </w:r>
    </w:p>
    <w:bookmarkEnd w:id="23"/>
    <w:bookmarkStart w:id="24" w:name="roller"/>
    <w:p>
      <w:pPr>
        <w:pStyle w:val="Heading1"/>
      </w:pPr>
      <w:r>
        <w:t xml:space="preserve">5. Roller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636"/>
        <w:gridCol w:w="3927"/>
        <w:gridCol w:w="2036"/>
      </w:tblGrid>
      <w:tr>
        <w:trPr>
          <w:tblHeader w:val="true"/>
        </w:trPr>
        <w:tc>
          <w:tcPr>
            <w:tcW w:type="dxa" w:w="3636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W w:type="dxa" w:w="3927"/>
          </w:tcPr>
          <w:p>
            <w:pPr>
              <w:pStyle w:val="Compact"/>
              <w:jc w:val="left"/>
            </w:pPr>
            <w:r>
              <w:t xml:space="preserve">Kişi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Yedek</w:t>
            </w:r>
          </w:p>
        </w:tc>
      </w:tr>
      <w:tr>
        <w:tc>
          <w:tcPr>
            <w:tcW w:type="dxa" w:w="3636"/>
          </w:tcPr>
          <w:p>
            <w:pPr>
              <w:pStyle w:val="Compact"/>
              <w:jc w:val="left"/>
            </w:pPr>
            <w:r>
              <w:t xml:space="preserve">Olay koordinatörü</w:t>
            </w:r>
          </w:p>
        </w:tc>
        <w:tc>
          <w:tcPr>
            <w:tcW w:type="dxa" w:w="3927"/>
          </w:tcPr>
          <w:p>
            <w:pPr>
              <w:pStyle w:val="Compact"/>
              <w:jc w:val="left"/>
            </w:pPr>
            <w:r>
              <w:t xml:space="preserve">{{Ad Soyad}}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{{Ad Soyad}}</w:t>
            </w:r>
          </w:p>
        </w:tc>
      </w:tr>
      <w:tr>
        <w:tc>
          <w:tcPr>
            <w:tcW w:type="dxa" w:w="3636"/>
          </w:tcPr>
          <w:p>
            <w:pPr>
              <w:pStyle w:val="Compact"/>
              <w:jc w:val="left"/>
            </w:pPr>
            <w:r>
              <w:t xml:space="preserve">AI yönetişim sorumlusu</w:t>
            </w:r>
          </w:p>
        </w:tc>
        <w:tc>
          <w:tcPr>
            <w:tcW w:type="dxa" w:w="3927"/>
          </w:tcPr>
          <w:p>
            <w:pPr>
              <w:pStyle w:val="Compact"/>
              <w:jc w:val="left"/>
            </w:pPr>
            <w:r>
              <w:t xml:space="preserve">{{Ad Soyad}}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{{Ad Soyad}}</w:t>
            </w:r>
          </w:p>
        </w:tc>
      </w:tr>
      <w:tr>
        <w:tc>
          <w:tcPr>
            <w:tcW w:type="dxa" w:w="3636"/>
          </w:tcPr>
          <w:p>
            <w:pPr>
              <w:pStyle w:val="Compact"/>
              <w:jc w:val="left"/>
            </w:pPr>
            <w:r>
              <w:t xml:space="preserve">KVKK irtibat kişisi / DPO</w:t>
            </w:r>
          </w:p>
        </w:tc>
        <w:tc>
          <w:tcPr>
            <w:tcW w:type="dxa" w:w="3927"/>
          </w:tcPr>
          <w:p>
            <w:pPr>
              <w:pStyle w:val="Compact"/>
              <w:jc w:val="left"/>
            </w:pPr>
            <w:r>
              <w:t xml:space="preserve">{{Ad Soyad}}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{{Ad Soyad}}</w:t>
            </w:r>
          </w:p>
        </w:tc>
      </w:tr>
      <w:tr>
        <w:tc>
          <w:tcPr>
            <w:tcW w:type="dxa" w:w="3636"/>
          </w:tcPr>
          <w:p>
            <w:pPr>
              <w:pStyle w:val="Compact"/>
              <w:jc w:val="left"/>
            </w:pPr>
            <w:r>
              <w:t xml:space="preserve">Hukuk</w:t>
            </w:r>
          </w:p>
        </w:tc>
        <w:tc>
          <w:tcPr>
            <w:tcW w:type="dxa" w:w="3927"/>
          </w:tcPr>
          <w:p>
            <w:pPr>
              <w:pStyle w:val="Compact"/>
              <w:jc w:val="left"/>
            </w:pPr>
            <w:r>
              <w:t xml:space="preserve">{{Ad Soyad / dış danışman}}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3636"/>
          </w:tcPr>
          <w:p>
            <w:pPr>
              <w:pStyle w:val="Compact"/>
              <w:jc w:val="left"/>
            </w:pPr>
            <w:r>
              <w:t xml:space="preserve">İletişim</w:t>
            </w:r>
          </w:p>
        </w:tc>
        <w:tc>
          <w:tcPr>
            <w:tcW w:type="dxa" w:w="3927"/>
          </w:tcPr>
          <w:p>
            <w:pPr>
              <w:pStyle w:val="Compact"/>
              <w:jc w:val="left"/>
            </w:pPr>
            <w:r>
              <w:t xml:space="preserve">{{Ad Soyad}}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"/>
    <w:bookmarkStart w:id="25" w:name="yasal-ve-sözleşmesel-bildirimler"/>
    <w:p>
      <w:pPr>
        <w:pStyle w:val="Heading1"/>
      </w:pPr>
      <w:r>
        <w:t xml:space="preserve">6. Yasal ve sözleşmesel bildirimler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938"/>
        <w:gridCol w:w="2938"/>
        <w:gridCol w:w="2595"/>
        <w:gridCol w:w="1126"/>
      </w:tblGrid>
      <w:tr>
        <w:trPr>
          <w:tblHeader w:val="true"/>
        </w:trPr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Yükümlülük</w:t>
            </w:r>
          </w:p>
        </w:tc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Ne zaman</w:t>
            </w:r>
          </w:p>
        </w:tc>
        <w:tc>
          <w:tcPr>
            <w:tcW w:type="dxa" w:w="2595"/>
          </w:tcPr>
          <w:p>
            <w:pPr>
              <w:pStyle w:val="Compact"/>
              <w:jc w:val="left"/>
            </w:pPr>
            <w:r>
              <w:t xml:space="preserve">Muhatap</w:t>
            </w:r>
          </w:p>
        </w:tc>
        <w:tc>
          <w:tcPr>
            <w:tcW w:type="dxa" w:w="1126"/>
          </w:tcPr>
          <w:p>
            <w:pPr>
              <w:pStyle w:val="Compact"/>
              <w:jc w:val="left"/>
            </w:pPr>
            <w:r>
              <w:t xml:space="preserve">Karar veren</w:t>
            </w:r>
          </w:p>
        </w:tc>
      </w:tr>
      <w:tr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KVKK md. 12(5) ve Kurul kararı 2019/10 — kişisel veri ihlali</w:t>
            </w:r>
          </w:p>
        </w:tc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Öğrenildikten sonra</w:t>
            </w:r>
            <w:r>
              <w:t xml:space="preserve"> </w:t>
            </w:r>
            <w:r>
              <w:rPr>
                <w:bCs/>
                <w:b/>
              </w:rPr>
              <w:t xml:space="preserve">72 saat</w:t>
            </w:r>
            <w:r>
              <w:t xml:space="preserve"> </w:t>
            </w:r>
            <w:r>
              <w:t xml:space="preserve">içinde Kurula (gecikirse gerekçesiyle); ilgili kişilere makul en kısa sürede, ulaşılamıyorsa web sitesinden duyuru</w:t>
            </w:r>
          </w:p>
        </w:tc>
        <w:tc>
          <w:tcPr>
            <w:tcW w:type="dxa" w:w="2595"/>
          </w:tcPr>
          <w:p>
            <w:pPr>
              <w:pStyle w:val="Compact"/>
              <w:jc w:val="left"/>
            </w:pPr>
            <w:r>
              <w:t xml:space="preserve">KVKK Kurumu (ihlal bildirim formu)</w:t>
            </w:r>
          </w:p>
        </w:tc>
        <w:tc>
          <w:tcPr>
            <w:tcW w:type="dxa" w:w="1126"/>
          </w:tcPr>
          <w:p>
            <w:pPr>
              <w:pStyle w:val="Compact"/>
              <w:jc w:val="left"/>
            </w:pPr>
            <w:r>
              <w:t xml:space="preserve">DPO + hukuk</w:t>
            </w:r>
          </w:p>
        </w:tc>
      </w:tr>
      <w:tr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GDPR Art. 33 — AB’deki kişilerin verisi varsa</w:t>
            </w:r>
          </w:p>
        </w:tc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72 saat</w:t>
            </w:r>
          </w:p>
        </w:tc>
        <w:tc>
          <w:tcPr>
            <w:tcW w:type="dxa" w:w="2595"/>
          </w:tcPr>
          <w:p>
            <w:pPr>
              <w:pStyle w:val="Compact"/>
              <w:jc w:val="left"/>
            </w:pPr>
            <w:r>
              <w:t xml:space="preserve">Yetkili denetim makamı</w:t>
            </w:r>
          </w:p>
        </w:tc>
        <w:tc>
          <w:tcPr>
            <w:tcW w:type="dxa" w:w="1126"/>
          </w:tcPr>
          <w:p>
            <w:pPr>
              <w:pStyle w:val="Compact"/>
              <w:jc w:val="left"/>
            </w:pPr>
            <w:r>
              <w:t xml:space="preserve">DPO + hukuk</w:t>
            </w:r>
          </w:p>
        </w:tc>
      </w:tr>
      <w:tr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7545 sayılı Siber Güvenlik Kanunu md. 7(1)(b) — zafiyet ve siber olaylar</w:t>
            </w:r>
          </w:p>
        </w:tc>
        <w:tc>
          <w:tcPr>
            <w:tcW w:type="dxa" w:w="293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Gecikmeksizin</w:t>
            </w:r>
            <w:r>
              <w:t xml:space="preserve"> </w:t>
            </w:r>
            <w:r>
              <w:t xml:space="preserve">(usul ve ayrıntılar ikincil düzenlemeye göre: {{yayımlandıysa atıf}})</w:t>
            </w:r>
          </w:p>
        </w:tc>
        <w:tc>
          <w:tcPr>
            <w:tcW w:type="dxa" w:w="2595"/>
          </w:tcPr>
          <w:p>
            <w:pPr>
              <w:pStyle w:val="Compact"/>
              <w:jc w:val="left"/>
            </w:pPr>
            <w:r>
              <w:t xml:space="preserve">Siber Güvenlik Başkanlığı {{ve varsa sektör SOME’si}}</w:t>
            </w:r>
          </w:p>
        </w:tc>
        <w:tc>
          <w:tcPr>
            <w:tcW w:type="dxa" w:w="1126"/>
          </w:tcPr>
          <w:p>
            <w:pPr>
              <w:pStyle w:val="Compact"/>
              <w:jc w:val="left"/>
            </w:pPr>
            <w:r>
              <w:t xml:space="preserve">Bilgi güvenliği + hukuk</w:t>
            </w:r>
          </w:p>
        </w:tc>
      </w:tr>
      <w:tr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Sektör düzenlemesi</w:t>
            </w:r>
          </w:p>
        </w:tc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{{BDDK / EPDK / kamu}}</w:t>
            </w:r>
          </w:p>
        </w:tc>
        <w:tc>
          <w:tcPr>
            <w:tcW w:type="dxa" w:w="2595"/>
          </w:tcPr>
          <w:p>
            <w:pPr>
              <w:pStyle w:val="Compact"/>
              <w:jc w:val="left"/>
            </w:pPr>
            <w:r>
              <w:t xml:space="preserve">{{…}}</w:t>
            </w:r>
          </w:p>
        </w:tc>
        <w:tc>
          <w:tcPr>
            <w:tcW w:type="dxa" w:w="1126"/>
          </w:tcPr>
          <w:p>
            <w:pPr>
              <w:pStyle w:val="Compact"/>
              <w:jc w:val="left"/>
            </w:pPr>
            <w:r>
              <w:t xml:space="preserve">{{…}}</w:t>
            </w:r>
          </w:p>
        </w:tc>
      </w:tr>
      <w:tr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Müşteri / sözleşme gereği</w:t>
            </w:r>
          </w:p>
        </w:tc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{{Sözleşmedeki süre}}</w:t>
            </w:r>
          </w:p>
        </w:tc>
        <w:tc>
          <w:tcPr>
            <w:tcW w:type="dxa" w:w="2595"/>
          </w:tcPr>
          <w:p>
            <w:pPr>
              <w:pStyle w:val="Compact"/>
              <w:jc w:val="left"/>
            </w:pPr>
            <w:r>
              <w:t xml:space="preserve">{{Müşteri}}</w:t>
            </w:r>
          </w:p>
        </w:tc>
        <w:tc>
          <w:tcPr>
            <w:tcW w:type="dxa" w:w="1126"/>
          </w:tcPr>
          <w:p>
            <w:pPr>
              <w:pStyle w:val="Compact"/>
              <w:jc w:val="left"/>
            </w:pPr>
            <w:r>
              <w:t xml:space="preserve">Sözleşme sahibi birim</w:t>
            </w:r>
          </w:p>
        </w:tc>
      </w:tr>
      <w:tr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AI sağlayıcısına bildirim (AI-3, AI-4)</w:t>
            </w:r>
          </w:p>
        </w:tc>
        <w:tc>
          <w:tcPr>
            <w:tcW w:type="dxa" w:w="2938"/>
          </w:tcPr>
          <w:p>
            <w:pPr>
              <w:pStyle w:val="Compact"/>
              <w:jc w:val="left"/>
            </w:pPr>
            <w:r>
              <w:t xml:space="preserve">Değerlendirme sonrası</w:t>
            </w:r>
          </w:p>
        </w:tc>
        <w:tc>
          <w:tcPr>
            <w:tcW w:type="dxa" w:w="2595"/>
          </w:tcPr>
          <w:p>
            <w:pPr>
              <w:pStyle w:val="Compact"/>
              <w:jc w:val="left"/>
            </w:pPr>
            <w:r>
              <w:t xml:space="preserve">Sağlayıcı destek / güvenlik kanalı</w:t>
            </w:r>
          </w:p>
        </w:tc>
        <w:tc>
          <w:tcPr>
            <w:tcW w:type="dxa" w:w="1126"/>
          </w:tcPr>
          <w:p>
            <w:pPr>
              <w:pStyle w:val="Compact"/>
              <w:jc w:val="left"/>
            </w:pPr>
            <w:r>
              <w:t xml:space="preserve">Bilgi güvenliği</w:t>
            </w:r>
          </w:p>
        </w:tc>
      </w:tr>
    </w:tbl>
    <w:p>
      <w:pPr>
        <w:pStyle w:val="BodyText"/>
      </w:pPr>
      <w:r>
        <w:t xml:space="preserve">Sürenin başlangıcı ve bildirim kararı olay kaydına yazılır.</w:t>
      </w:r>
      <w:r>
        <w:t xml:space="preserve"> </w:t>
      </w:r>
      <w:r>
        <w:t xml:space="preserve">“</w:t>
      </w:r>
      <w:r>
        <w:t xml:space="preserve">Bildirim gerekmiyor</w:t>
      </w:r>
      <w:r>
        <w:t xml:space="preserve">”</w:t>
      </w:r>
      <w:r>
        <w:t xml:space="preserve"> </w:t>
      </w:r>
      <w:r>
        <w:t xml:space="preserve">kararı da gerekçesiyle kaydedilir.</w:t>
      </w:r>
    </w:p>
    <w:bookmarkEnd w:id="25"/>
    <w:bookmarkStart w:id="26" w:name="ilk-müdahale-aiye-özgü-adımlar"/>
    <w:p>
      <w:pPr>
        <w:pStyle w:val="Heading1"/>
      </w:pPr>
      <w:r>
        <w:t xml:space="preserve">7. İlk müdahale — AI’ye özgü adımlar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AI-1:</w:t>
      </w:r>
      <w:r>
        <w:t xml:space="preserve"> </w:t>
      </w:r>
      <w:r>
        <w:t xml:space="preserve">Girilen verinin ne olduğu ve hangi servise gittiği tespit edilir; sağlayıcıdan silme talep edilir (sözleşme varsa); ilgili hesap/erişim gözden geçirilir.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AI-2:</w:t>
      </w:r>
      <w:r>
        <w:t xml:space="preserve"> </w:t>
      </w:r>
      <w:r>
        <w:t xml:space="preserve">Çıktının kime ulaştığı tespit edilir; düzeltme yapılır; benzer çıktıları önlemek için sistem kapatılır ya da insan gözetimine alınır.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AI-3:</w:t>
      </w:r>
      <w:r>
        <w:t xml:space="preserve"> </w:t>
      </w:r>
      <w:r>
        <w:t xml:space="preserve">Erişim yolu kapatılır; ilgili kayıtlar (prompt/yanıt kayıtları) korunur; yetki yapılandırması incelenir.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AI-4:</w:t>
      </w:r>
      <w:r>
        <w:t xml:space="preserve"> </w:t>
      </w:r>
      <w:r>
        <w:t xml:space="preserve">Sağlayıcıdan yazılı bilgi istenir; servis kullanımı askıya alınabilir; G-SUP değerlendirmesi yenilenir.</w:t>
      </w:r>
    </w:p>
    <w:p>
      <w:pPr>
        <w:pStyle w:val="FirstParagraph"/>
      </w:pPr>
      <w:r>
        <w:t xml:space="preserve">Tüm türlerde prompt, yanıt ve erişim kayıtları</w:t>
      </w:r>
      <w:r>
        <w:t xml:space="preserve"> </w:t>
      </w:r>
      <w:r>
        <w:rPr>
          <w:bCs/>
          <w:b/>
        </w:rPr>
        <w:t xml:space="preserve">silinmez</w:t>
      </w:r>
      <w:r>
        <w:t xml:space="preserve">; kanıt olarak saklanır.</w:t>
      </w:r>
    </w:p>
    <w:bookmarkEnd w:id="26"/>
    <w:bookmarkStart w:id="27" w:name="kapanış-dersler-ve-tatbikat"/>
    <w:p>
      <w:pPr>
        <w:pStyle w:val="Heading1"/>
      </w:pPr>
      <w:r>
        <w:t xml:space="preserve">8. Kapanış, dersler ve tatbikat</w:t>
      </w:r>
    </w:p>
    <w:p>
      <w:pPr>
        <w:numPr>
          <w:ilvl w:val="0"/>
          <w:numId w:val="1003"/>
        </w:numPr>
        <w:pStyle w:val="Compact"/>
      </w:pPr>
      <w:r>
        <w:t xml:space="preserve">Her olay için kök neden, alınan aksiyonlar, sorumlusu ve tarihi olay kaydına yazılır; aksiyonlar kapanana kadar izlenir.</w:t>
      </w:r>
    </w:p>
    <w:p>
      <w:pPr>
        <w:numPr>
          <w:ilvl w:val="0"/>
          <w:numId w:val="1003"/>
        </w:numPr>
        <w:pStyle w:val="Compact"/>
      </w:pPr>
      <w:r>
        <w:t xml:space="preserve">Son 12 ayda AI olayı yaşanmadıysa en az</w:t>
      </w:r>
      <w:r>
        <w:t xml:space="preserve"> </w:t>
      </w:r>
      <w:r>
        <w:rPr>
          <w:bCs/>
          <w:b/>
        </w:rPr>
        <w:t xml:space="preserve">bir masa başı tatbikat</w:t>
      </w:r>
      <w:r>
        <w:t xml:space="preserve"> </w:t>
      </w:r>
      <w:r>
        <w:t xml:space="preserve">yapılır (örnek senaryo: çalışanın müşteri listesini ücretsiz bir AI servisine yüklemesi).</w:t>
      </w:r>
    </w:p>
    <w:p>
      <w:pPr>
        <w:numPr>
          <w:ilvl w:val="0"/>
          <w:numId w:val="1003"/>
        </w:numPr>
        <w:pStyle w:val="Compact"/>
      </w:pPr>
      <w:r>
        <w:t xml:space="preserve">Prosedür en geç 12 ayda bir gözden geçirilir.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1002"/>
        <w:gridCol w:w="2149"/>
        <w:gridCol w:w="2149"/>
        <w:gridCol w:w="2149"/>
        <w:gridCol w:w="2149"/>
      </w:tblGrid>
      <w:tr>
        <w:trPr>
          <w:tblHeader w:val="true"/>
        </w:trP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>
            <w:tcW w:type="dxa" w:w="2149"/>
          </w:tcPr>
          <w:p>
            <w:pPr>
              <w:pStyle w:val="Compact"/>
              <w:jc w:val="left"/>
            </w:pPr>
            <w:r>
              <w:t xml:space="preserve">Olay / tatbikat</w:t>
            </w:r>
          </w:p>
        </w:tc>
        <w:tc>
          <w:tcPr>
            <w:tcW w:type="dxa" w:w="2149"/>
          </w:tcPr>
          <w:p>
            <w:pPr>
              <w:pStyle w:val="Compact"/>
              <w:jc w:val="left"/>
            </w:pPr>
            <w:r>
              <w:t xml:space="preserve">Ders</w:t>
            </w:r>
          </w:p>
        </w:tc>
        <w:tc>
          <w:tcPr>
            <w:tcW w:type="dxa" w:w="2149"/>
          </w:tcPr>
          <w:p>
            <w:pPr>
              <w:pStyle w:val="Compact"/>
              <w:jc w:val="left"/>
            </w:pPr>
            <w:r>
              <w:t xml:space="preserve">Aksiyon — sorumlu — tarih</w:t>
            </w:r>
          </w:p>
        </w:tc>
        <w:tc>
          <w:tcPr>
            <w:tcW w:type="dxa" w:w="2149"/>
          </w:tcPr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{{…}}</w:t>
            </w: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</w:tr>
    </w:tbl>
    <w:bookmarkEnd w:id="27"/>
    <w:bookmarkStart w:id="28" w:name="onay"/>
    <w:p>
      <w:pPr>
        <w:pStyle w:val="Heading1"/>
      </w:pPr>
      <w:r>
        <w:t xml:space="preserve">9. Onay</w:t>
      </w:r>
    </w:p>
    <w:p>
      <w:pPr>
        <w:pStyle w:val="FirstParagraph"/>
      </w:pPr>
      <w:r>
        <w:t xml:space="preserve">Belge no / sürüm: {{…}} · Onaylayan: {{Ad Soyad, unvan}} — {{tarih}}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Yapay Zekâ Olay Prosedürü</dc:title>
  <dc:creator/>
  <cp:keywords/>
  <dcterms:created xsi:type="dcterms:W3CDTF">2026-10-14T14:10:41Z</dcterms:created>
  <dcterms:modified xsi:type="dcterms:W3CDTF">2026-10-14T14:10:41Z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TPL-03</vt:lpwstr>
  </property>
  <property fmtid="{D5CDD505-2E9C-101B-9397-08002B2CF9AE}" pid="5" name="version">
    <vt:lpwstr>1.0-draft</vt:lpwstr>
  </property>
</Properties>
</file>