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Yapay</w:t>
      </w:r>
      <w:r>
        <w:t xml:space="preserve"> </w:t>
      </w:r>
      <w:r>
        <w:t xml:space="preserve">Zekâ</w:t>
      </w:r>
      <w:r>
        <w:t xml:space="preserve"> </w:t>
      </w:r>
      <w:r>
        <w:t xml:space="preserve">Araçları</w:t>
      </w:r>
      <w:r>
        <w:t xml:space="preserve"> </w:t>
      </w:r>
      <w:r>
        <w:t xml:space="preserve">Kabul</w:t>
      </w:r>
      <w:r>
        <w:t xml:space="preserve"> </w:t>
      </w:r>
      <w:r>
        <w:t xml:space="preserve">Edilebilir</w:t>
      </w:r>
      <w:r>
        <w:t xml:space="preserve"> </w:t>
      </w:r>
      <w:r>
        <w:t xml:space="preserve">Kullanım</w:t>
      </w:r>
      <w:r>
        <w:t xml:space="preserve"> </w:t>
      </w:r>
      <w:r>
        <w:t xml:space="preserve">Kuralları</w:t>
      </w:r>
    </w:p>
    <w:p>
      <w:pPr>
        <w:pStyle w:val="Heading1"/>
      </w:pPr>
      <w:bookmarkStart w:id="20" w:name="amaç-ve-kapsam"/>
      <w:r>
        <w:t xml:space="preserve">1. Amaç ve kapsam</w:t>
      </w:r>
      <w:bookmarkEnd w:id="20"/>
    </w:p>
    <w:p>
      <w:pPr>
        <w:pStyle w:val="FirstParagraph"/>
      </w:pPr>
      <w:r>
        <w:t xml:space="preserve">Bu kurallar, {{Kurum}} çalışanlarının iş amacıyla AI araçlarını nasıl kullanacağını belirler ve</w:t>
      </w:r>
      <w:r>
        <w:t xml:space="preserve"> </w:t>
      </w:r>
      <w:r>
        <w:rPr>
          <w:b/>
        </w:rPr>
        <w:t xml:space="preserve">Yapay Zekâ Politikası</w:t>
      </w:r>
      <w:r>
        <w:t xml:space="preserve">’nın ({{TPL-01 no}}) parçasıdır. Kurallar, kurum cihazlarında ve kişisel cihazlarda yapılan tüm iş amaçlı kullanımı kapsar.</w:t>
      </w:r>
    </w:p>
    <w:p>
      <w:pPr>
        <w:pStyle w:val="Heading1"/>
      </w:pPr>
      <w:bookmarkStart w:id="21" w:name="temel-kural"/>
      <w:r>
        <w:t xml:space="preserve">2. Temel kural</w:t>
      </w:r>
      <w:bookmarkEnd w:id="21"/>
    </w:p>
    <w:p>
      <w:pPr>
        <w:pStyle w:val="FirstParagraph"/>
      </w:pPr>
      <w:r>
        <w:rPr>
          <w:b/>
        </w:rPr>
        <w:t xml:space="preserve">Bir AI aracını iş için yalnız Ek A’daki onaylı araç listesinde varsa ve yalnız o araç için izin verilen veri sınıflarıyla kullanabilirsiniz.</w:t>
      </w:r>
      <w:r>
        <w:t xml:space="preserve"> </w:t>
      </w:r>
      <w:r>
        <w:t xml:space="preserve">Listede olmayan bir aracı kullanmak isterseniz Bölüm 6’daki talep yolunu izleyin.</w:t>
      </w:r>
    </w:p>
    <w:p>
      <w:pPr>
        <w:pStyle w:val="Heading1"/>
      </w:pPr>
      <w:bookmarkStart w:id="22" w:name="veri-sınıfları"/>
      <w:r>
        <w:t xml:space="preserve">3. Veri sınıfları</w:t>
      </w:r>
      <w:bookmarkEnd w:id="22"/>
    </w:p>
    <w:p>
      <w:pPr>
        <w:pStyle w:val="FirstParagraph"/>
      </w:pPr>
      <w:r>
        <w:t xml:space="preserve">{{Kurumun veri sınıflandırması varsa ona atıf yapın ve bu tabloyu kurumun sınıflarıyla değiştirin.}}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262"/>
        <w:gridCol w:w="3668"/>
        <w:gridCol w:w="3668"/>
      </w:tblGrid>
      <w:tr>
        <w:trPr>
          <w:cnfStyle w:firstRow="1"/>
        </w:trPr>
        <w:tc>
          <w:tcPr>
            <w:tcW w:type="dxa" w:w="226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Sınıf</w:t>
            </w:r>
          </w:p>
        </w:tc>
        <w:tc>
          <w:tcPr>
            <w:tcW w:type="dxa" w:w="366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Örnekler</w:t>
            </w:r>
          </w:p>
        </w:tc>
        <w:tc>
          <w:tcPr>
            <w:tcW w:type="dxa" w:w="366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Genel kural</w:t>
            </w:r>
          </w:p>
        </w:tc>
      </w:tr>
      <w:tr>
        <w:tc>
          <w:tcPr>
            <w:tcW w:type="dxa" w:w="22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Genel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Yayımlanmış bilgiler, genel bilgi soruları, kamuya açık metinler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Onaylı tüm araçlarda kullanılabilir</w:t>
            </w:r>
          </w:p>
        </w:tc>
      </w:tr>
      <w:tr>
        <w:tc>
          <w:tcPr>
            <w:tcW w:type="dxa" w:w="22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Kurum içi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İç yazışmalar, kişisel veri içermeyen süreç belgeleri, taslaklar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Yalnız kurum hesabıyla kullanılan ve sözleşmeli araçlarda</w:t>
            </w:r>
          </w:p>
        </w:tc>
      </w:tr>
      <w:tr>
        <w:tc>
          <w:tcPr>
            <w:tcW w:type="dxa" w:w="22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Gizli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Sözleşmeler, finansal veriler, kaynak kod, teklif ve ihale belgeleri, ticari sırlar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Yalnız Ek A’da açıkça izin verilen araçlarda</w:t>
            </w:r>
          </w:p>
        </w:tc>
      </w:tr>
      <w:tr>
        <w:tc>
          <w:tcPr>
            <w:tcW w:type="dxa" w:w="22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Kişisel / özel nitelikli kişisel veri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Ad-soyad ile birlikte TCKN, IBAN, telefon, adres; sağlık, biyometrik, ceza mahkûmiyeti verileri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t xml:space="preserve">Yalnız Ek A’da açıkça izin verilen ve verinin kurum sınırında maskelendiği araçlarda;</w:t>
            </w:r>
            <w:r>
              <w:t xml:space="preserve"> </w:t>
            </w:r>
            <w:r>
              <w:rPr>
                <w:b/>
              </w:rPr>
              <w:t xml:space="preserve">özel nitelikli veri dış AI servislerine girilmez</w:t>
            </w:r>
            <w:r>
              <w:t xml:space="preserve"> </w:t>
            </w:r>
            <w:r>
              <w:t xml:space="preserve">{{kurum kararı}}</w:t>
            </w:r>
          </w:p>
        </w:tc>
      </w:tr>
    </w:tbl>
    <w:p>
      <w:pPr>
        <w:pStyle w:val="Heading1"/>
      </w:pPr>
      <w:bookmarkStart w:id="23" w:name="yapın"/>
      <w:r>
        <w:t xml:space="preserve">4. Yapın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Kurum hesabınızla (kurumsal e-posta / tek oturum açma) giriş yapın.</w:t>
      </w:r>
    </w:p>
    <w:p>
      <w:pPr>
        <w:numPr>
          <w:ilvl w:val="0"/>
          <w:numId w:val="1001"/>
        </w:numPr>
        <w:pStyle w:val="Compact"/>
      </w:pPr>
      <w:r>
        <w:t xml:space="preserve">Prompt’a veri girmeden önce sınıfını düşünün; emin değilseniz bir üst sınıf varsayın.</w:t>
      </w:r>
    </w:p>
    <w:p>
      <w:pPr>
        <w:numPr>
          <w:ilvl w:val="0"/>
          <w:numId w:val="1001"/>
        </w:numPr>
        <w:pStyle w:val="Compact"/>
      </w:pPr>
      <w:r>
        <w:t xml:space="preserve">AI çıktısını kullanmadan önce doğruluğunu kontrol edin; çıktının sorumluluğu sizdedir.</w:t>
      </w:r>
    </w:p>
    <w:p>
      <w:pPr>
        <w:numPr>
          <w:ilvl w:val="0"/>
          <w:numId w:val="1001"/>
        </w:numPr>
        <w:pStyle w:val="Compact"/>
      </w:pPr>
      <w:r>
        <w:t xml:space="preserve">Dışarıya giden belgelerde AI’nin kullanıldığını, {{kurum kuralına göre}} belirtin.</w:t>
      </w:r>
    </w:p>
    <w:p>
      <w:pPr>
        <w:numPr>
          <w:ilvl w:val="0"/>
          <w:numId w:val="1001"/>
        </w:numPr>
        <w:pStyle w:val="Compact"/>
      </w:pPr>
      <w:r>
        <w:t xml:space="preserve">Yanlışlıkla izin verilmeyen bir veri girdiyseniz hemen bildirin (Bölüm 8). Bildirim cezalandırılmaz; geç kalınması zararı büyütür.</w:t>
      </w:r>
    </w:p>
    <w:p>
      <w:pPr>
        <w:pStyle w:val="Heading1"/>
      </w:pPr>
      <w:bookmarkStart w:id="24" w:name="yapmayın"/>
      <w:r>
        <w:t xml:space="preserve">5. Yapmayın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Kişisel hesabınızla ya da ücretsiz sürümlerle iş verisi işlemeyin.</w:t>
      </w:r>
    </w:p>
    <w:p>
      <w:pPr>
        <w:numPr>
          <w:ilvl w:val="0"/>
          <w:numId w:val="1002"/>
        </w:numPr>
        <w:pStyle w:val="Compact"/>
      </w:pPr>
      <w:r>
        <w:t xml:space="preserve">Müşteri, hasta, vatandaş ya da çalışan verisini izin verilmeyen araca kopyalamayın.</w:t>
      </w:r>
    </w:p>
    <w:p>
      <w:pPr>
        <w:numPr>
          <w:ilvl w:val="0"/>
          <w:numId w:val="1002"/>
        </w:numPr>
        <w:pStyle w:val="Compact"/>
      </w:pPr>
      <w:r>
        <w:t xml:space="preserve">AI’ye parola, erişim anahtarı ya da kimlik bilgisi vermeyin.</w:t>
      </w:r>
    </w:p>
    <w:p>
      <w:pPr>
        <w:numPr>
          <w:ilvl w:val="0"/>
          <w:numId w:val="1002"/>
        </w:numPr>
        <w:pStyle w:val="Compact"/>
      </w:pPr>
      <w:r>
        <w:t xml:space="preserve">Bir kişi hakkında karar (işe alım, kredi, performans, hizmet erişimi) yalnız AI çıktısına dayanarak vermeyin; İnsan Gözetimi Prosedürü’ne ({{TPL-13 no}}) uyun.</w:t>
      </w:r>
    </w:p>
    <w:p>
      <w:pPr>
        <w:numPr>
          <w:ilvl w:val="0"/>
          <w:numId w:val="1002"/>
        </w:numPr>
        <w:pStyle w:val="Compact"/>
      </w:pPr>
      <w:r>
        <w:t xml:space="preserve">Onaysız tarayıcı eklentisi, masaüstü uygulaması ya da toplantı kayıt/özet botu kurmayın.</w:t>
      </w:r>
    </w:p>
    <w:p>
      <w:pPr>
        <w:pStyle w:val="Heading1"/>
      </w:pPr>
      <w:bookmarkStart w:id="25" w:name="yeni-araç-talebi"/>
      <w:r>
        <w:t xml:space="preserve">6. Yeni araç talebi</w:t>
      </w:r>
      <w:bookmarkEnd w:id="25"/>
    </w:p>
    <w:p>
      <w:pPr>
        <w:pStyle w:val="FirstParagraph"/>
      </w:pPr>
      <w:r>
        <w:t xml:space="preserve">Listede olmayan bir araç için {{talep kanalı / form}} üzerinden talep açın. Talep; amaç, kullanılacak veri sınıfları ve kullanıcı sayısını içerir. Değerlendirme, Yapay Zekâ Politikası Bölüm 6’daki onay yoluyla yapılır. Hedef cevap süresi: {{10 iş günü}}.</w:t>
      </w:r>
    </w:p>
    <w:p>
      <w:pPr>
        <w:pStyle w:val="Heading1"/>
      </w:pPr>
      <w:bookmarkStart w:id="26" w:name="eğitim"/>
      <w:r>
        <w:t xml:space="preserve">7. Eğitim</w:t>
      </w:r>
      <w:bookmarkEnd w:id="26"/>
    </w:p>
    <w:p>
      <w:pPr>
        <w:pStyle w:val="FirstParagraph"/>
      </w:pPr>
      <w:r>
        <w:t xml:space="preserve">AI araçlarına erişim verilen her çalışan, erişimden sonraki</w:t>
      </w:r>
      <w:r>
        <w:t xml:space="preserve"> </w:t>
      </w:r>
      <w:r>
        <w:rPr>
          <w:b/>
        </w:rPr>
        <w:t xml:space="preserve">60 gün</w:t>
      </w:r>
      <w:r>
        <w:t xml:space="preserve"> </w:t>
      </w:r>
      <w:r>
        <w:t xml:space="preserve">içinde {{AI okuryazarlık eğitimi adı}}’ni tamamlar. Tamamlama {{eğitim sistemi}}’nde kaydedilir.</w:t>
      </w:r>
    </w:p>
    <w:p>
      <w:pPr>
        <w:pStyle w:val="Heading1"/>
      </w:pPr>
      <w:bookmarkStart w:id="27" w:name="bildirim"/>
      <w:r>
        <w:t xml:space="preserve">8. Bildirim</w:t>
      </w:r>
      <w:bookmarkEnd w:id="27"/>
    </w:p>
    <w:p>
      <w:pPr>
        <w:pStyle w:val="FirstParagraph"/>
      </w:pPr>
      <w:r>
        <w:t xml:space="preserve">Şüpheli bir durum, yanlışlıkla veri girişi ya da zararlı bir çıktı: {{bildirim kanalı — e-posta / form / telefon}} — AI Olay Bildirim Formu ({{TPL-04 no}}).</w:t>
      </w:r>
    </w:p>
    <w:p>
      <w:pPr>
        <w:pStyle w:val="Heading1"/>
      </w:pPr>
      <w:bookmarkStart w:id="28" w:name="izleme"/>
      <w:r>
        <w:t xml:space="preserve">9. İzleme</w:t>
      </w:r>
      <w:bookmarkEnd w:id="28"/>
    </w:p>
    <w:p>
      <w:pPr>
        <w:pStyle w:val="FirstParagraph"/>
      </w:pPr>
      <w:r>
        <w:t xml:space="preserve">{{Kurum}}, AI servislerine giden ağ trafiğini içerik düzeyinde değil,</w:t>
      </w:r>
      <w:r>
        <w:t xml:space="preserve"> </w:t>
      </w:r>
      <w:r>
        <w:rPr>
          <w:b/>
        </w:rPr>
        <w:t xml:space="preserve">üst veri düzeyinde</w:t>
      </w:r>
      <w:r>
        <w:t xml:space="preserve"> </w:t>
      </w:r>
      <w:r>
        <w:t xml:space="preserve">(servis adı, birim, hacim) izler. İzleme, kişisel verilerin korunması mevzuatına ve kurumun çalışan aydınlatma metnine uygun olarak yapılır. {{Hukuk danışmanının onayladığı aydınlatma metnine atıf}}</w:t>
      </w:r>
    </w:p>
    <w:p>
      <w:pPr>
        <w:pStyle w:val="Heading1"/>
      </w:pPr>
      <w:bookmarkStart w:id="29" w:name="ek-a-onaylı-ai-araç-listesi"/>
      <w:r>
        <w:t xml:space="preserve">Ek A — Onaylı AI araç listesi</w:t>
      </w:r>
      <w:bookmarkEnd w:id="29"/>
    </w:p>
    <w:p>
      <w:pPr>
        <w:pStyle w:val="FirstParagraph"/>
      </w:pPr>
      <w:r>
        <w:t xml:space="preserve">Son güncelleme:</w:t>
      </w:r>
      <w:r>
        <w:t xml:space="preserve"> </w:t>
      </w:r>
      <w:r>
        <w:rPr>
          <w:b/>
        </w:rPr>
        <w:t xml:space="preserve">{{gg.aa.yyyy}}</w:t>
      </w:r>
      <w:r>
        <w:t xml:space="preserve"> </w:t>
      </w:r>
      <w:r>
        <w:t xml:space="preserve">· Sahibi: {{AI yönetişim sorumlusu}} · Gözden geçirme: en geç 12 ayda bir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506"/>
        <w:gridCol w:w="1120"/>
        <w:gridCol w:w="800"/>
        <w:gridCol w:w="746"/>
        <w:gridCol w:w="746"/>
        <w:gridCol w:w="746"/>
        <w:gridCol w:w="746"/>
        <w:gridCol w:w="2186"/>
      </w:tblGrid>
      <w:tr>
        <w:trPr>
          <w:cnfStyle w:firstRow="1"/>
        </w:trPr>
        <w:tc>
          <w:tcPr>
            <w:tcW w:type="dxa" w:w="25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Araç</w:t>
            </w:r>
          </w:p>
        </w:tc>
        <w:tc>
          <w:tcPr>
            <w:tcW w:type="dxa" w:w="1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Kullanım amacı</w:t>
            </w:r>
          </w:p>
        </w:tc>
        <w:tc>
          <w:tcPr>
            <w:tcW w:type="dxa" w:w="8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Hesap türü</w:t>
            </w:r>
          </w:p>
        </w:tc>
        <w:tc>
          <w:tcPr>
            <w:tcW w:type="dxa" w:w="74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Genel</w:t>
            </w:r>
          </w:p>
        </w:tc>
        <w:tc>
          <w:tcPr>
            <w:tcW w:type="dxa" w:w="74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Kurum içi</w:t>
            </w:r>
          </w:p>
        </w:tc>
        <w:tc>
          <w:tcPr>
            <w:tcW w:type="dxa" w:w="74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Gizli</w:t>
            </w:r>
          </w:p>
        </w:tc>
        <w:tc>
          <w:tcPr>
            <w:tcW w:type="dxa" w:w="74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Kişisel</w:t>
            </w:r>
          </w:p>
        </w:tc>
        <w:tc>
          <w:tcPr>
            <w:tcW w:type="dxa" w:w="218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{{Örn. kurum içi doküman asistanı}}</w:t>
            </w:r>
          </w:p>
        </w:tc>
        <w:tc>
          <w:tcPr>
            <w:tcW w:type="dxa" w:w="1120"/>
          </w:tcPr>
          <w:p>
            <w:pPr>
              <w:pStyle w:val="Compact"/>
              <w:jc w:val="left"/>
            </w:pPr>
            <w:r>
              <w:t xml:space="preserve">Belge arama, özet</w:t>
            </w:r>
          </w:p>
        </w:tc>
        <w:tc>
          <w:tcPr>
            <w:tcW w:type="dxa" w:w="800"/>
          </w:tcPr>
          <w:p>
            <w:pPr>
              <w:pStyle w:val="Compact"/>
              <w:jc w:val="left"/>
            </w:pPr>
            <w:r>
              <w:t xml:space="preserve">Kurum SSO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 (maskeli)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Kurum sınırında çalışır</w:t>
            </w:r>
          </w:p>
        </w:tc>
      </w:tr>
      <w:tr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{{Örn. kurumsal sözleşmeli üretken AI servisi}}</w:t>
            </w:r>
          </w:p>
        </w:tc>
        <w:tc>
          <w:tcPr>
            <w:tcW w:type="dxa" w:w="1120"/>
          </w:tcPr>
          <w:p>
            <w:pPr>
              <w:pStyle w:val="Compact"/>
              <w:jc w:val="left"/>
            </w:pPr>
            <w:r>
              <w:t xml:space="preserve">Metin taslağı, çeviri</w:t>
            </w:r>
          </w:p>
        </w:tc>
        <w:tc>
          <w:tcPr>
            <w:tcW w:type="dxa" w:w="800"/>
          </w:tcPr>
          <w:p>
            <w:pPr>
              <w:pStyle w:val="Compact"/>
              <w:jc w:val="left"/>
            </w:pPr>
            <w:r>
              <w:t xml:space="preserve">Kurumsal lisans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Eğitimde kullanmama taahhüdü var (TPL-08)</w:t>
            </w:r>
          </w:p>
        </w:tc>
      </w:tr>
      <w:tr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{{Örn. kod asistanı}}</w:t>
            </w:r>
          </w:p>
        </w:tc>
        <w:tc>
          <w:tcPr>
            <w:tcW w:type="dxa" w:w="1120"/>
          </w:tcPr>
          <w:p>
            <w:pPr>
              <w:pStyle w:val="Compact"/>
              <w:jc w:val="left"/>
            </w:pPr>
            <w:r>
              <w:t xml:space="preserve">Kod önerisi</w:t>
            </w:r>
          </w:p>
        </w:tc>
        <w:tc>
          <w:tcPr>
            <w:tcW w:type="dxa" w:w="800"/>
          </w:tcPr>
          <w:p>
            <w:pPr>
              <w:pStyle w:val="Compact"/>
              <w:jc w:val="left"/>
            </w:pPr>
            <w:r>
              <w:t xml:space="preserve">Kurumsal lisans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{{✓/✗}}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{{…}}</w:t>
            </w:r>
          </w:p>
        </w:tc>
      </w:tr>
      <w:tr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Ücretsiz/kişisel hesaplı servisler</w:t>
            </w:r>
          </w:p>
        </w:tc>
        <w:tc>
          <w:tcPr>
            <w:tcW w:type="dxa" w:w="1120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800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746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Kullanılmaz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Yapay Zekâ Araçları Kabul Edilebilir Kullanım Kuralları</dc:title>
  <dc:creator/>
  <cp:keywords/>
  <dcterms:created xsi:type="dcterms:W3CDTF">2026-10-14T13:00:56Z</dcterms:created>
  <dcterms:modified xsi:type="dcterms:W3CDTF">2026-10-14T13:00:56Z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TPL-02</vt:lpwstr>
  </property>
  <property fmtid="{D5CDD505-2E9C-101B-9397-08002B2CF9AE}" pid="5" name="version">
    <vt:lpwstr>1.0-draft</vt:lpwstr>
  </property>
</Properties>
</file>